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rFonts w:ascii="Times New Roman" w:hAnsi="Times New Roman" w:eastAsia="Times New Roman" w:cs="Times New Roman"/>
          <w:b/>
          <w:color w:val="365F91"/>
          <w:kern w:val="2"/>
          <w:sz w:val="40"/>
          <w:szCs w:val="40"/>
          <w:lang w:val="fr-FR" w:eastAsia="fr-FR" w:bidi="ar-SA"/>
        </w:rPr>
      </w:pPr>
      <w:r>
        <w:rPr>
          <w:rFonts w:eastAsia="Times New Roman" w:cs="Times New Roman"/>
          <w:b/>
          <w:color w:val="365F91"/>
          <w:kern w:val="2"/>
          <w:sz w:val="40"/>
          <w:szCs w:val="40"/>
          <w:highlight w:val="yellow"/>
          <w:lang w:val="fr-FR" w:eastAsia="fr-FR" w:bidi="ar-SA"/>
        </w:rPr>
        <w:t>LE TYPE DE COLLECTIVITE</w:t>
      </w:r>
      <w:r>
        <w:rPr>
          <w:rFonts w:eastAsia="Times New Roman" w:cs="Times New Roman"/>
          <w:b/>
          <w:color w:val="365F91"/>
          <w:kern w:val="2"/>
          <w:sz w:val="40"/>
          <w:szCs w:val="40"/>
          <w:lang w:val="fr-FR" w:eastAsia="fr-FR" w:bidi="ar-SA"/>
        </w:rPr>
        <w:t xml:space="preserve"> ET </w:t>
      </w:r>
      <w:r>
        <w:rPr>
          <w:rFonts w:eastAsia="Times New Roman" w:cs="Times New Roman"/>
          <w:b/>
          <w:color w:val="365F91"/>
          <w:kern w:val="2"/>
          <w:sz w:val="40"/>
          <w:szCs w:val="40"/>
          <w:highlight w:val="yellow"/>
          <w:lang w:val="fr-FR" w:eastAsia="fr-FR" w:bidi="ar-SA"/>
        </w:rPr>
        <w:t>LE NOM DE LA COLLECTIVITE</w:t>
      </w:r>
    </w:p>
    <w:p>
      <w:pPr>
        <w:pStyle w:val="Style11"/>
        <w:rPr/>
      </w:pPr>
      <w:r>
        <w:rPr/>
      </w:r>
    </w:p>
    <w:p>
      <w:pPr>
        <w:pStyle w:val="Style11"/>
        <w:rPr/>
      </w:pPr>
      <w:r>
        <w:rPr/>
        <w:t>POUR LA TRANSMISSION ÉL</w:t>
      </w:r>
      <w:bookmarkStart w:id="0" w:name="__DdeLink__2282_1570205715"/>
      <w:r>
        <w:rPr/>
        <w:t>ECT</w:t>
      </w:r>
      <w:bookmarkEnd w:id="0"/>
      <w:r>
        <w:rPr/>
        <w:t>RONIQUE</w:t>
        <w:br/>
        <w:t>DES ACTES AU REPRÉSENTANT DE L’ÉTAT</w:t>
      </w:r>
    </w:p>
    <w:p>
      <w:pPr>
        <w:pStyle w:val="Style11"/>
        <w:rPr/>
      </w:pPr>
      <w:r>
        <w:rPr/>
      </w:r>
    </w:p>
    <w:p>
      <w:pPr>
        <w:pStyle w:val="Style11"/>
        <w:rPr/>
      </w:pPr>
      <w:r>
        <w:rPr/>
      </w:r>
    </w:p>
    <w:p>
      <w:pPr>
        <w:pStyle w:val="Style11"/>
        <w:rPr/>
      </w:pPr>
      <w:r>
        <w:rPr/>
      </w:r>
    </w:p>
    <w:p>
      <w:pPr>
        <w:pStyle w:val="Style11"/>
        <w:rPr/>
      </w:pPr>
      <w:r>
        <w:rPr/>
      </w:r>
    </w:p>
    <w:p>
      <w:pPr>
        <w:sectPr>
          <w:headerReference w:type="default" r:id="rId2"/>
          <w:type w:val="nextPage"/>
          <w:pgSz w:w="11906" w:h="16838"/>
          <w:pgMar w:left="850" w:right="850" w:gutter="0" w:header="680" w:top="2276" w:footer="0" w:bottom="680"/>
          <w:pgNumType w:fmt="decimal"/>
          <w:formProt w:val="false"/>
          <w:textDirection w:val="lrTb"/>
          <w:docGrid w:type="default" w:linePitch="360" w:charSpace="1638"/>
        </w:sectPr>
        <w:pStyle w:val="Normal"/>
        <w:jc w:val="right"/>
        <w:rPr/>
      </w:pPr>
      <w:r>
        <w:rPr>
          <w:sz w:val="40"/>
          <w:szCs w:val="40"/>
        </w:rPr>
        <w:t>@CTES</w:t>
      </w:r>
    </w:p>
    <w:p>
      <w:pPr>
        <w:pStyle w:val="Style21"/>
        <w:jc w:val="center"/>
        <w:rPr>
          <w:color w:val="244061"/>
        </w:rPr>
      </w:pPr>
      <w:r>
        <w:rPr>
          <w:color w:val="244061"/>
        </w:rPr>
      </w:r>
    </w:p>
    <w:p>
      <w:pPr>
        <w:pStyle w:val="Style21"/>
        <w:jc w:val="center"/>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Style21"/>
        <w:jc w:val="center"/>
        <w:rPr>
          <w:color w:val="244061"/>
        </w:rPr>
      </w:pPr>
      <w:r>
        <w:rPr>
          <w:color w:val="244061"/>
        </w:rPr>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w:t>
      </w:r>
      <w:r>
        <w:rPr>
          <w:rFonts w:eastAsia="Times New Roman" w:cs="Times New Roman"/>
        </w:rPr>
        <w:t>É</w:t>
      </w:r>
      <w:r>
        <w:rPr/>
        <w:t>tat dans le département ou dans la région (pour les régions) une « convention de télétransmission ». Elle a pour objet :</w:t>
      </w:r>
    </w:p>
    <w:p>
      <w:pPr>
        <w:pStyle w:val="Style6"/>
        <w:bidi w:val="0"/>
        <w:ind w:left="567" w:right="0" w:hanging="0"/>
        <w:jc w:val="left"/>
        <w:rPr/>
      </w:pPr>
      <w:r>
        <w:rPr/>
        <w:t>- de porter à la connaissance des services préfectoraux le dispositif utilisé afin qu’ils soient en mesure de vérifier s’il est homologué dans les conditions prévues à l’article R. 2131-1 du CGCT ;</w:t>
      </w:r>
    </w:p>
    <w:p>
      <w:pPr>
        <w:pStyle w:val="Style6"/>
        <w:bidi w:val="0"/>
        <w:ind w:left="567" w:right="0" w:hanging="0"/>
        <w:jc w:val="left"/>
        <w:rPr/>
      </w:pPr>
      <w:r>
        <w:rPr/>
        <w:t>- d’établir les engagements respectifs des deux parties pour l’organisation et le fonctionnement de la transmission par voie électronique.</w:t>
      </w:r>
    </w:p>
    <w:p>
      <w:pPr>
        <w:pStyle w:val="Style6"/>
        <w:bidi w:val="0"/>
        <w:ind w:left="567" w:right="0" w:hanging="0"/>
        <w:jc w:val="left"/>
        <w:rPr/>
      </w:pPr>
      <w:r>
        <w:rPr/>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bidi w:val="0"/>
        <w:ind w:left="567" w:right="0" w:hanging="0"/>
        <w:jc w:val="left"/>
        <w:rPr/>
      </w:pPr>
      <w:r>
        <w:rPr/>
        <w:t>- la première partie identifie les parties signataires de la convention ;</w:t>
      </w:r>
    </w:p>
    <w:p>
      <w:pPr>
        <w:pStyle w:val="Style6"/>
        <w:bidi w:val="0"/>
        <w:ind w:left="567" w:right="0" w:hanging="0"/>
        <w:jc w:val="left"/>
        <w:rPr/>
      </w:pPr>
      <w:r>
        <w:rPr/>
        <w:t>- la seconde partie référence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bidi w:val="0"/>
        <w:ind w:left="567" w:right="0" w:hanging="0"/>
        <w:jc w:val="left"/>
        <w:rPr/>
      </w:pPr>
      <w:r>
        <w:rPr/>
        <w:t>- 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bidi w:val="0"/>
        <w:ind w:left="567" w:right="0" w:hanging="0"/>
        <w:jc w:val="left"/>
        <w:rPr/>
      </w:pPr>
      <w:r>
        <w:rPr/>
        <w:t>- la quatrième partie précise la durée et les conditions de validité de la convention.</w:t>
      </w:r>
    </w:p>
    <w:p>
      <w:pPr>
        <w:pStyle w:val="Style6"/>
        <w:bidi w:val="0"/>
        <w:ind w:left="567" w:right="0" w:hanging="0"/>
        <w:jc w:val="left"/>
        <w:rPr/>
      </w:pPr>
      <w:r>
        <w:rPr/>
      </w:r>
    </w:p>
    <w:p>
      <w:pPr>
        <w:pStyle w:val="Retraitdecorpsdetexte"/>
        <w:rPr/>
      </w:pPr>
      <w:r>
        <w:rPr/>
        <w:t xml:space="preserve">Les éléments écrits </w:t>
      </w:r>
      <w:r>
        <w:rPr>
          <w:color w:val="000000"/>
          <w:highlight w:val="yellow"/>
        </w:rPr>
        <w:t>surlignés en jaune</w:t>
      </w:r>
      <w:r>
        <w:rPr/>
        <w:t xml:space="preserve"> correspondent aux informations à renseigner par les services de la collectivité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Retraitdecorpsdetexte"/>
        <w:rPr/>
      </w:pPr>
      <w:r>
        <w:rPr/>
      </w:r>
      <w:r>
        <w:br w:type="page"/>
      </w:r>
    </w:p>
    <w:p>
      <w:pPr>
        <w:pStyle w:val="Style111"/>
        <w:rPr/>
      </w:pPr>
      <w:r>
        <w:rPr/>
      </w:r>
    </w:p>
    <w:p>
      <w:pPr>
        <w:pStyle w:val="Style111"/>
        <w:rPr/>
      </w:pPr>
      <w:r>
        <w:rPr/>
        <w:t>Sommaire</w:t>
      </w:r>
    </w:p>
    <w:p>
      <w:pPr>
        <w:pStyle w:val="Retraitdecorpsdetexte"/>
        <w:rPr/>
      </w:pPr>
      <w:r>
        <w:rPr/>
      </w:r>
    </w:p>
    <w:sdt>
      <w:sdtPr>
        <w:docPartObj>
          <w:docPartGallery w:val="Table of Contents"/>
          <w:docPartUnique w:val="true"/>
        </w:docPartObj>
      </w:sdtPr>
      <w:sdtContent>
        <w:p>
          <w:pPr>
            <w:pStyle w:val="Tabledesmatiresniveau1"/>
            <w:tabs>
              <w:tab w:val="clear" w:pos="420"/>
              <w:tab w:val="left" w:pos="400" w:leader="none"/>
              <w:tab w:val="right" w:pos="9060" w:leader="dot"/>
            </w:tabs>
            <w:spacing w:before="120" w:after="0"/>
            <w:rPr/>
          </w:pPr>
          <w:r>
            <w:fldChar w:fldCharType="begin"/>
          </w:r>
          <w:r>
            <w:rPr>
              <w:webHidden/>
              <w:rStyle w:val="Sautdindex"/>
              <w:sz w:val="22"/>
              <w:szCs w:val="22"/>
              <w:vanish w:val="false"/>
            </w:rPr>
            <w:instrText xml:space="preserve"> TOC \z \o "1-3" \u \h</w:instrText>
          </w:r>
          <w:r>
            <w:rPr>
              <w:webHidden/>
              <w:rStyle w:val="Sautdindex"/>
              <w:sz w:val="22"/>
              <w:szCs w:val="22"/>
              <w:vanish w:val="false"/>
            </w:rPr>
            <w:fldChar w:fldCharType="separate"/>
          </w:r>
          <w:hyperlink w:anchor="_Toc445709147">
            <w:r>
              <w:rPr>
                <w:webHidden/>
                <w:rStyle w:val="Sautdindex"/>
                <w:vanish w:val="false"/>
                <w:sz w:val="22"/>
                <w:szCs w:val="22"/>
              </w:rPr>
              <w:t>1)</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PARTIES PRENANTES A LA CONVENTION</w:t>
            </w:r>
            <w:r>
              <w:rPr>
                <w:webHidden/>
              </w:rPr>
              <w:fldChar w:fldCharType="begin"/>
            </w:r>
            <w:r>
              <w:rPr>
                <w:webHidden/>
              </w:rPr>
              <w:instrText xml:space="preserve">PAGEREF _Toc445709147 \h</w:instrText>
            </w:r>
            <w:r>
              <w:rPr>
                <w:webHidden/>
              </w:rPr>
              <w:fldChar w:fldCharType="separate"/>
            </w:r>
            <w:r>
              <w:rPr>
                <w:rStyle w:val="Sautdindex"/>
                <w:vanish w:val="false"/>
                <w:sz w:val="22"/>
                <w:szCs w:val="22"/>
              </w:rPr>
              <w:tab/>
              <w:t>4</w:t>
            </w:r>
            <w:r>
              <w:rPr>
                <w:webHidden/>
              </w:rPr>
              <w:fldChar w:fldCharType="end"/>
            </w:r>
          </w:hyperlink>
        </w:p>
        <w:p>
          <w:pPr>
            <w:pStyle w:val="Tabledesmatiresniveau1"/>
            <w:tabs>
              <w:tab w:val="clear" w:pos="420"/>
              <w:tab w:val="left" w:pos="400" w:leader="none"/>
              <w:tab w:val="right" w:pos="9060" w:leader="dot"/>
            </w:tabs>
            <w:spacing w:before="120" w:after="0"/>
            <w:rPr/>
          </w:pPr>
          <w:hyperlink w:anchor="_Toc445709148">
            <w:r>
              <w:rPr>
                <w:webHidden/>
                <w:rStyle w:val="Sautdindex"/>
                <w:vanish w:val="false"/>
                <w:sz w:val="22"/>
                <w:szCs w:val="22"/>
              </w:rPr>
              <w:t>2)</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PARTENAIRES DU MINISTERE DE L’INTERIEUR</w:t>
            </w:r>
            <w:r>
              <w:rPr>
                <w:webHidden/>
              </w:rPr>
              <w:fldChar w:fldCharType="begin"/>
            </w:r>
            <w:r>
              <w:rPr>
                <w:webHidden/>
              </w:rPr>
              <w:instrText xml:space="preserve">PAGEREF _Toc445709148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49">
            <w:r>
              <w:rPr>
                <w:webHidden/>
                <w:rStyle w:val="Sautdindex"/>
                <w:vanish w:val="false"/>
                <w:sz w:val="22"/>
                <w:szCs w:val="22"/>
              </w:rPr>
              <w:t>2.1</w:t>
            </w:r>
            <w:r>
              <w:rPr>
                <w:rStyle w:val="Sautdindex"/>
                <w:rFonts w:eastAsia="" w:cs="" w:ascii="Calibri" w:hAnsi="Calibri" w:asciiTheme="minorHAnsi" w:cstheme="minorBidi" w:eastAsiaTheme="minorEastAsia" w:hAnsiTheme="minorHAnsi"/>
                <w:sz w:val="22"/>
                <w:szCs w:val="22"/>
              </w:rPr>
              <w:tab/>
            </w:r>
            <w:r>
              <w:rPr>
                <w:rStyle w:val="Sautdindex"/>
                <w:sz w:val="22"/>
                <w:szCs w:val="22"/>
              </w:rPr>
              <w:t>L’opérateur de transmission et son dispositif</w:t>
            </w:r>
            <w:r>
              <w:rPr>
                <w:webHidden/>
              </w:rPr>
              <w:fldChar w:fldCharType="begin"/>
            </w:r>
            <w:r>
              <w:rPr>
                <w:webHidden/>
              </w:rPr>
              <w:instrText xml:space="preserve">PAGEREF _Toc445709149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50">
            <w:r>
              <w:rPr>
                <w:webHidden/>
                <w:rStyle w:val="Sautdindex"/>
                <w:vanish w:val="false"/>
                <w:sz w:val="22"/>
                <w:szCs w:val="22"/>
              </w:rPr>
              <w:t>2.2</w:t>
            </w:r>
            <w:r>
              <w:rPr>
                <w:rStyle w:val="Sautdindex"/>
                <w:rFonts w:eastAsia="" w:cs="" w:ascii="Calibri" w:hAnsi="Calibri" w:asciiTheme="minorHAnsi" w:cstheme="minorBidi" w:eastAsiaTheme="minorEastAsia" w:hAnsiTheme="minorHAnsi"/>
                <w:sz w:val="22"/>
                <w:szCs w:val="22"/>
              </w:rPr>
              <w:tab/>
            </w:r>
            <w:r>
              <w:rPr>
                <w:rStyle w:val="Sautdindex"/>
                <w:sz w:val="22"/>
                <w:szCs w:val="22"/>
              </w:rPr>
              <w:t>Identification de la collectivité</w:t>
            </w:r>
            <w:r>
              <w:rPr>
                <w:webHidden/>
              </w:rPr>
              <w:fldChar w:fldCharType="begin"/>
            </w:r>
            <w:r>
              <w:rPr>
                <w:webHidden/>
              </w:rPr>
              <w:instrText xml:space="preserve">PAGEREF _Toc445709150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51">
            <w:r>
              <w:rPr>
                <w:webHidden/>
                <w:rStyle w:val="Sautdindex"/>
                <w:vanish w:val="false"/>
                <w:sz w:val="22"/>
                <w:szCs w:val="22"/>
              </w:rPr>
              <w:t>2.3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L’opérateur de mutualisation </w:t>
            </w:r>
            <w:r>
              <w:rPr>
                <w:rStyle w:val="Sautdindex"/>
                <w:i/>
                <w:sz w:val="22"/>
                <w:szCs w:val="22"/>
              </w:rPr>
              <w:t>[facultatif - si nul, supprimer la présente partie]</w:t>
            </w:r>
            <w:r>
              <w:rPr>
                <w:webHidden/>
              </w:rPr>
              <w:fldChar w:fldCharType="begin"/>
            </w:r>
            <w:r>
              <w:rPr>
                <w:webHidden/>
              </w:rPr>
              <w:instrText xml:space="preserve">PAGEREF _Toc445709151 \h</w:instrText>
            </w:r>
            <w:r>
              <w:rPr>
                <w:webHidden/>
              </w:rPr>
              <w:fldChar w:fldCharType="separate"/>
            </w:r>
            <w:r>
              <w:rPr>
                <w:rStyle w:val="Sautdindex"/>
                <w:vanish w:val="false"/>
                <w:sz w:val="22"/>
                <w:szCs w:val="22"/>
              </w:rPr>
              <w:tab/>
              <w:t>5</w:t>
            </w:r>
            <w:r>
              <w:rPr>
                <w:webHidden/>
              </w:rPr>
              <w:fldChar w:fldCharType="end"/>
            </w:r>
          </w:hyperlink>
        </w:p>
        <w:p>
          <w:pPr>
            <w:pStyle w:val="Tabledesmatiresniveau1"/>
            <w:tabs>
              <w:tab w:val="clear" w:pos="420"/>
              <w:tab w:val="left" w:pos="400" w:leader="none"/>
              <w:tab w:val="right" w:pos="9060" w:leader="dot"/>
            </w:tabs>
            <w:spacing w:before="120" w:after="0"/>
            <w:rPr/>
          </w:pPr>
          <w:hyperlink w:anchor="_Toc445709152">
            <w:r>
              <w:rPr>
                <w:webHidden/>
                <w:rStyle w:val="Sautdindex"/>
                <w:vanish w:val="false"/>
                <w:sz w:val="22"/>
                <w:szCs w:val="22"/>
              </w:rPr>
              <w:t>3)</w:t>
            </w:r>
            <w:r>
              <w:rPr>
                <w:rStyle w:val="Sautdindex"/>
                <w:rFonts w:eastAsia="" w:cs="" w:ascii="Calibri" w:hAnsi="Calibri" w:asciiTheme="minorHAnsi" w:cstheme="minorBidi" w:eastAsiaTheme="minorEastAsia" w:hAnsiTheme="minorHAnsi"/>
                <w:sz w:val="22"/>
                <w:szCs w:val="22"/>
              </w:rPr>
              <w:tab/>
            </w:r>
            <w:r>
              <w:rPr>
                <w:rStyle w:val="Sautdindex"/>
                <w:sz w:val="22"/>
                <w:szCs w:val="22"/>
              </w:rPr>
              <w:t>ENGAGEMENTS SUR LA MISE EN ŒUVRE DE LA TRANSSMISSION ELECTRONIQUE</w:t>
            </w:r>
            <w:r>
              <w:rPr>
                <w:webHidden/>
              </w:rPr>
              <w:fldChar w:fldCharType="begin"/>
            </w:r>
            <w:r>
              <w:rPr>
                <w:webHidden/>
              </w:rPr>
              <w:instrText xml:space="preserve">PAGEREF _Toc445709152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53">
            <w:r>
              <w:rPr>
                <w:webHidden/>
                <w:rStyle w:val="Sautdindex"/>
                <w:vanish w:val="false"/>
                <w:sz w:val="22"/>
                <w:szCs w:val="22"/>
              </w:rPr>
              <w:t>3.1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nationales</w:t>
            </w:r>
            <w:r>
              <w:rPr>
                <w:webHidden/>
              </w:rPr>
              <w:fldChar w:fldCharType="begin"/>
            </w:r>
            <w:r>
              <w:rPr>
                <w:webHidden/>
              </w:rPr>
              <w:instrText xml:space="preserve">PAGEREF _Toc445709153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54">
            <w:r>
              <w:rPr>
                <w:webHidden/>
                <w:rStyle w:val="Sautdindex"/>
                <w:vanish w:val="false"/>
                <w:sz w:val="22"/>
                <w:szCs w:val="22"/>
              </w:rPr>
              <w:t>3.1.1</w:t>
            </w:r>
            <w:r>
              <w:rPr>
                <w:rStyle w:val="Sautdindex"/>
                <w:rFonts w:eastAsia="" w:cs="" w:ascii="Calibri" w:hAnsi="Calibri" w:asciiTheme="minorHAnsi" w:cstheme="minorBidi" w:eastAsiaTheme="minorEastAsia" w:hAnsiTheme="minorHAnsi"/>
                <w:sz w:val="22"/>
                <w:szCs w:val="22"/>
              </w:rPr>
              <w:tab/>
            </w:r>
            <w:r>
              <w:rPr>
                <w:rStyle w:val="Sautdindex"/>
                <w:sz w:val="22"/>
                <w:szCs w:val="22"/>
              </w:rPr>
              <w:t>Organisation des échanges</w:t>
            </w:r>
            <w:r>
              <w:rPr>
                <w:webHidden/>
              </w:rPr>
              <w:fldChar w:fldCharType="begin"/>
            </w:r>
            <w:r>
              <w:rPr>
                <w:webHidden/>
              </w:rPr>
              <w:instrText xml:space="preserve">PAGEREF _Toc445709154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55">
            <w:r>
              <w:rPr>
                <w:webHidden/>
                <w:rStyle w:val="Sautdindex"/>
                <w:vanish w:val="false"/>
                <w:sz w:val="22"/>
                <w:szCs w:val="22"/>
              </w:rPr>
              <w:t>3.1.2</w:t>
            </w:r>
            <w:r>
              <w:rPr>
                <w:rStyle w:val="Sautdindex"/>
                <w:rFonts w:eastAsia="" w:cs="" w:ascii="Calibri" w:hAnsi="Calibri" w:asciiTheme="minorHAnsi" w:cstheme="minorBidi" w:eastAsiaTheme="minorEastAsia" w:hAnsiTheme="minorHAnsi"/>
                <w:sz w:val="22"/>
                <w:szCs w:val="22"/>
              </w:rPr>
              <w:tab/>
            </w:r>
            <w:r>
              <w:rPr>
                <w:rStyle w:val="Sautdindex"/>
                <w:sz w:val="22"/>
                <w:szCs w:val="22"/>
              </w:rPr>
              <w:t>Signature</w:t>
            </w:r>
            <w:r>
              <w:rPr>
                <w:webHidden/>
              </w:rPr>
              <w:fldChar w:fldCharType="begin"/>
            </w:r>
            <w:r>
              <w:rPr>
                <w:webHidden/>
              </w:rPr>
              <w:instrText xml:space="preserve">PAGEREF _Toc445709155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56">
            <w:r>
              <w:rPr>
                <w:webHidden/>
                <w:rStyle w:val="Sautdindex"/>
                <w:vanish w:val="false"/>
                <w:sz w:val="22"/>
                <w:szCs w:val="22"/>
              </w:rPr>
              <w:t>3.1.3</w:t>
            </w:r>
            <w:r>
              <w:rPr>
                <w:rStyle w:val="Sautdindex"/>
                <w:rFonts w:eastAsia="" w:cs="" w:ascii="Calibri" w:hAnsi="Calibri" w:asciiTheme="minorHAnsi" w:cstheme="minorBidi" w:eastAsiaTheme="minorEastAsia" w:hAnsiTheme="minorHAnsi"/>
                <w:sz w:val="22"/>
                <w:szCs w:val="22"/>
              </w:rPr>
              <w:tab/>
            </w:r>
            <w:r>
              <w:rPr>
                <w:rStyle w:val="Sautdindex"/>
                <w:sz w:val="22"/>
                <w:szCs w:val="22"/>
              </w:rPr>
              <w:t>Confidentialité</w:t>
            </w:r>
            <w:r>
              <w:rPr>
                <w:webHidden/>
              </w:rPr>
              <w:fldChar w:fldCharType="begin"/>
            </w:r>
            <w:r>
              <w:rPr>
                <w:webHidden/>
              </w:rPr>
              <w:instrText xml:space="preserve">PAGEREF _Toc445709156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57">
            <w:r>
              <w:rPr>
                <w:webHidden/>
                <w:rStyle w:val="Sautdindex"/>
                <w:vanish w:val="false"/>
                <w:sz w:val="22"/>
                <w:szCs w:val="22"/>
              </w:rPr>
              <w:t>3.1.4</w:t>
            </w:r>
            <w:r>
              <w:rPr>
                <w:rStyle w:val="Sautdindex"/>
                <w:rFonts w:eastAsia="" w:cs="" w:ascii="Calibri" w:hAnsi="Calibri" w:asciiTheme="minorHAnsi" w:cstheme="minorBidi" w:eastAsiaTheme="minorEastAsia" w:hAnsiTheme="minorHAnsi"/>
                <w:sz w:val="22"/>
                <w:szCs w:val="22"/>
              </w:rPr>
              <w:tab/>
            </w:r>
            <w:r>
              <w:rPr>
                <w:rStyle w:val="Sautdindex"/>
                <w:sz w:val="22"/>
                <w:szCs w:val="22"/>
              </w:rPr>
              <w:t>Interruptions programmées du service</w:t>
            </w:r>
            <w:r>
              <w:rPr>
                <w:webHidden/>
              </w:rPr>
              <w:fldChar w:fldCharType="begin"/>
            </w:r>
            <w:r>
              <w:rPr>
                <w:webHidden/>
              </w:rPr>
              <w:instrText xml:space="preserve">PAGEREF _Toc445709157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58">
            <w:r>
              <w:rPr>
                <w:webHidden/>
                <w:rStyle w:val="Sautdindex"/>
                <w:vanish w:val="false"/>
                <w:sz w:val="22"/>
                <w:szCs w:val="22"/>
              </w:rPr>
              <w:t>3.1.5</w:t>
            </w:r>
            <w:r>
              <w:rPr>
                <w:rStyle w:val="Sautdindex"/>
                <w:rFonts w:eastAsia="" w:cs="" w:ascii="Calibri" w:hAnsi="Calibri" w:asciiTheme="minorHAnsi" w:cstheme="minorBidi" w:eastAsiaTheme="minorEastAsia" w:hAnsiTheme="minorHAnsi"/>
                <w:sz w:val="22"/>
                <w:szCs w:val="22"/>
              </w:rPr>
              <w:tab/>
            </w:r>
            <w:r>
              <w:rPr>
                <w:rStyle w:val="Sautdindex"/>
                <w:sz w:val="22"/>
                <w:szCs w:val="22"/>
              </w:rPr>
              <w:t>Suspension et interruption de la transmission électronique</w:t>
            </w:r>
            <w:r>
              <w:rPr>
                <w:rStyle w:val="Sautdindex"/>
                <w:i/>
                <w:sz w:val="22"/>
                <w:szCs w:val="22"/>
              </w:rPr>
              <w:t xml:space="preserve"> [collectivités non soumises à l’obligation de transmission par voie électronique en application de la loi NOTRe]</w:t>
            </w:r>
            <w:r>
              <w:rPr>
                <w:webHidden/>
              </w:rPr>
              <w:fldChar w:fldCharType="begin"/>
            </w:r>
            <w:r>
              <w:rPr>
                <w:webHidden/>
              </w:rPr>
              <w:instrText xml:space="preserve">PAGEREF _Toc445709158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59">
            <w:r>
              <w:rPr>
                <w:webHidden/>
                <w:rStyle w:val="Sautdindex"/>
                <w:vanish w:val="false"/>
                <w:sz w:val="22"/>
                <w:szCs w:val="22"/>
              </w:rPr>
              <w:t>3.1.6</w:t>
            </w:r>
            <w:r>
              <w:rPr>
                <w:rStyle w:val="Sautdindex"/>
                <w:rFonts w:eastAsia="" w:cs="" w:ascii="Calibri" w:hAnsi="Calibri" w:asciiTheme="minorHAnsi" w:cstheme="minorBidi" w:eastAsiaTheme="minorEastAsia" w:hAnsiTheme="minorHAnsi"/>
                <w:sz w:val="22"/>
                <w:szCs w:val="22"/>
              </w:rPr>
              <w:tab/>
            </w:r>
            <w:r>
              <w:rPr>
                <w:rStyle w:val="Sautdindex"/>
                <w:sz w:val="22"/>
                <w:szCs w:val="22"/>
              </w:rPr>
              <w:t>Preuve des échanges</w:t>
            </w:r>
            <w:r>
              <w:rPr>
                <w:webHidden/>
              </w:rPr>
              <w:fldChar w:fldCharType="begin"/>
            </w:r>
            <w:r>
              <w:rPr>
                <w:webHidden/>
              </w:rPr>
              <w:instrText xml:space="preserve">PAGEREF _Toc445709159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60">
            <w:r>
              <w:rPr>
                <w:webHidden/>
                <w:rStyle w:val="Sautdindex"/>
                <w:vanish w:val="false"/>
                <w:sz w:val="22"/>
                <w:szCs w:val="22"/>
              </w:rPr>
              <w:t>3.2</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locales</w:t>
            </w:r>
            <w:r>
              <w:rPr>
                <w:webHidden/>
              </w:rPr>
              <w:fldChar w:fldCharType="begin"/>
            </w:r>
            <w:r>
              <w:rPr>
                <w:webHidden/>
              </w:rPr>
              <w:instrText xml:space="preserve">PAGEREF _Toc445709160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61">
            <w:r>
              <w:rPr>
                <w:webHidden/>
                <w:rStyle w:val="Sautdindex"/>
                <w:vanish w:val="false"/>
                <w:sz w:val="22"/>
                <w:szCs w:val="22"/>
              </w:rPr>
              <w:t>3.2.1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Classification des actes par matières</w:t>
            </w:r>
            <w:r>
              <w:rPr>
                <w:webHidden/>
              </w:rPr>
              <w:fldChar w:fldCharType="begin"/>
            </w:r>
            <w:r>
              <w:rPr>
                <w:webHidden/>
              </w:rPr>
              <w:instrText xml:space="preserve">PAGEREF _Toc445709161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62">
            <w:r>
              <w:rPr>
                <w:webHidden/>
                <w:rStyle w:val="Sautdindex"/>
                <w:vanish w:val="false"/>
                <w:sz w:val="22"/>
                <w:szCs w:val="22"/>
              </w:rPr>
              <w:t>3.2.2</w:t>
            </w:r>
            <w:r>
              <w:rPr>
                <w:rStyle w:val="Sautdindex"/>
                <w:rFonts w:eastAsia="" w:cs="" w:ascii="Calibri" w:hAnsi="Calibri" w:asciiTheme="minorHAnsi" w:cstheme="minorBidi" w:eastAsiaTheme="minorEastAsia" w:hAnsiTheme="minorHAnsi"/>
                <w:sz w:val="22"/>
                <w:szCs w:val="22"/>
              </w:rPr>
              <w:tab/>
            </w:r>
            <w:r>
              <w:rPr>
                <w:rStyle w:val="Sautdindex"/>
                <w:sz w:val="22"/>
                <w:szCs w:val="22"/>
              </w:rPr>
              <w:t>Support mutuel</w:t>
            </w:r>
            <w:r>
              <w:rPr>
                <w:webHidden/>
              </w:rPr>
              <w:fldChar w:fldCharType="begin"/>
            </w:r>
            <w:r>
              <w:rPr>
                <w:webHidden/>
              </w:rPr>
              <w:instrText xml:space="preserve">PAGEREF _Toc445709162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63">
            <w:r>
              <w:rPr>
                <w:webHidden/>
                <w:rStyle w:val="Sautdindex"/>
                <w:vanish w:val="false"/>
                <w:sz w:val="22"/>
                <w:szCs w:val="22"/>
              </w:rPr>
              <w:t>3.3</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relatives à la transmission électronique des documents budgétaires sur le module Actes budgétaires</w:t>
            </w:r>
            <w:r>
              <w:rPr>
                <w:webHidden/>
              </w:rPr>
              <w:fldChar w:fldCharType="begin"/>
            </w:r>
            <w:r>
              <w:rPr>
                <w:webHidden/>
              </w:rPr>
              <w:instrText xml:space="preserve">PAGEREF _Toc445709163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64">
            <w:r>
              <w:rPr>
                <w:webHidden/>
                <w:rStyle w:val="Sautdindex"/>
                <w:vanish w:val="false"/>
                <w:sz w:val="22"/>
                <w:szCs w:val="22"/>
              </w:rPr>
              <w:t>3.3.1</w:t>
            </w:r>
            <w:r>
              <w:rPr>
                <w:rStyle w:val="Sautdindex"/>
                <w:rFonts w:eastAsia="" w:cs="" w:ascii="Calibri" w:hAnsi="Calibri" w:asciiTheme="minorHAnsi" w:cstheme="minorBidi" w:eastAsiaTheme="minorEastAsia" w:hAnsiTheme="minorHAnsi"/>
                <w:sz w:val="22"/>
                <w:szCs w:val="22"/>
              </w:rPr>
              <w:tab/>
            </w:r>
            <w:r>
              <w:rPr>
                <w:rStyle w:val="Sautdindex"/>
                <w:sz w:val="22"/>
                <w:szCs w:val="22"/>
              </w:rPr>
              <w:t>Transmission des documents budgétaires de l’exercice en cours</w:t>
            </w:r>
            <w:r>
              <w:rPr>
                <w:webHidden/>
              </w:rPr>
              <w:fldChar w:fldCharType="begin"/>
            </w:r>
            <w:r>
              <w:rPr>
                <w:webHidden/>
              </w:rPr>
              <w:instrText xml:space="preserve">PAGEREF _Toc445709164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420"/>
              <w:tab w:val="left" w:pos="1100" w:leader="none"/>
              <w:tab w:val="right" w:pos="9060" w:leader="dot"/>
            </w:tabs>
            <w:spacing w:before="120" w:after="0"/>
            <w:rPr/>
          </w:pPr>
          <w:hyperlink w:anchor="_Toc445709165">
            <w:r>
              <w:rPr>
                <w:webHidden/>
                <w:rStyle w:val="Sautdindex"/>
                <w:vanish w:val="false"/>
                <w:sz w:val="22"/>
                <w:szCs w:val="22"/>
              </w:rPr>
              <w:t>3.3.2</w:t>
            </w:r>
            <w:r>
              <w:rPr>
                <w:rStyle w:val="Sautdindex"/>
                <w:rFonts w:eastAsia="" w:cs="" w:ascii="Calibri" w:hAnsi="Calibri" w:asciiTheme="minorHAnsi" w:cstheme="minorBidi" w:eastAsiaTheme="minorEastAsia" w:hAnsiTheme="minorHAnsi"/>
                <w:sz w:val="22"/>
                <w:szCs w:val="22"/>
              </w:rPr>
              <w:tab/>
            </w:r>
            <w:r>
              <w:rPr>
                <w:rStyle w:val="Sautdindex"/>
                <w:sz w:val="22"/>
                <w:szCs w:val="22"/>
              </w:rPr>
              <w:t>Documents budgétaires concernés par la transmission électronique</w:t>
            </w:r>
            <w:r>
              <w:rPr>
                <w:webHidden/>
              </w:rPr>
              <w:fldChar w:fldCharType="begin"/>
            </w:r>
            <w:r>
              <w:rPr>
                <w:webHidden/>
              </w:rPr>
              <w:instrText xml:space="preserve">PAGEREF _Toc445709165 \h</w:instrText>
            </w:r>
            <w:r>
              <w:rPr>
                <w:webHidden/>
              </w:rPr>
              <w:fldChar w:fldCharType="separate"/>
            </w:r>
            <w:r>
              <w:rPr>
                <w:rStyle w:val="Sautdindex"/>
                <w:vanish w:val="false"/>
                <w:sz w:val="22"/>
                <w:szCs w:val="22"/>
              </w:rPr>
              <w:tab/>
              <w:t>7</w:t>
            </w:r>
            <w:r>
              <w:rPr>
                <w:webHidden/>
              </w:rPr>
              <w:fldChar w:fldCharType="end"/>
            </w:r>
          </w:hyperlink>
        </w:p>
        <w:p>
          <w:pPr>
            <w:pStyle w:val="Tabledesmatiresniveau1"/>
            <w:tabs>
              <w:tab w:val="clear" w:pos="420"/>
              <w:tab w:val="left" w:pos="400" w:leader="none"/>
              <w:tab w:val="right" w:pos="9060" w:leader="dot"/>
            </w:tabs>
            <w:spacing w:before="120" w:after="0"/>
            <w:rPr/>
          </w:pPr>
          <w:hyperlink w:anchor="_Toc445709166">
            <w:r>
              <w:rPr>
                <w:webHidden/>
                <w:rStyle w:val="Sautdindex"/>
                <w:vanish w:val="false"/>
                <w:sz w:val="22"/>
                <w:szCs w:val="22"/>
              </w:rPr>
              <w:t>4)</w:t>
            </w:r>
            <w:r>
              <w:rPr>
                <w:rStyle w:val="Sautdindex"/>
                <w:rFonts w:eastAsia="" w:cs="" w:ascii="Calibri" w:hAnsi="Calibri" w:asciiTheme="minorHAnsi" w:cstheme="minorBidi" w:eastAsiaTheme="minorEastAsia" w:hAnsiTheme="minorHAnsi"/>
                <w:sz w:val="22"/>
                <w:szCs w:val="22"/>
              </w:rPr>
              <w:tab/>
            </w:r>
            <w:r>
              <w:rPr>
                <w:rStyle w:val="Sautdindex"/>
                <w:sz w:val="22"/>
                <w:szCs w:val="22"/>
              </w:rPr>
              <w:t>VALIDITE ET MODIFICATION DE LA CONVENTION</w:t>
            </w:r>
            <w:r>
              <w:rPr>
                <w:webHidden/>
              </w:rPr>
              <w:fldChar w:fldCharType="begin"/>
            </w:r>
            <w:r>
              <w:rPr>
                <w:webHidden/>
              </w:rPr>
              <w:instrText xml:space="preserve">PAGEREF _Toc445709166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67">
            <w:r>
              <w:rPr>
                <w:webHidden/>
                <w:rStyle w:val="Sautdindex"/>
                <w:vanish w:val="false"/>
                <w:sz w:val="22"/>
                <w:szCs w:val="22"/>
              </w:rPr>
              <w:t>4.1</w:t>
            </w:r>
            <w:r>
              <w:rPr>
                <w:rStyle w:val="Sautdindex"/>
                <w:rFonts w:eastAsia="" w:cs="" w:ascii="Calibri" w:hAnsi="Calibri" w:asciiTheme="minorHAnsi" w:cstheme="minorBidi" w:eastAsiaTheme="minorEastAsia" w:hAnsiTheme="minorHAnsi"/>
                <w:sz w:val="22"/>
                <w:szCs w:val="22"/>
              </w:rPr>
              <w:tab/>
            </w:r>
            <w:r>
              <w:rPr>
                <w:rStyle w:val="Sautdindex"/>
                <w:sz w:val="22"/>
                <w:szCs w:val="22"/>
              </w:rPr>
              <w:t>Durée de validité de la convention</w:t>
            </w:r>
            <w:r>
              <w:rPr>
                <w:webHidden/>
              </w:rPr>
              <w:fldChar w:fldCharType="begin"/>
            </w:r>
            <w:r>
              <w:rPr>
                <w:webHidden/>
              </w:rPr>
              <w:instrText xml:space="preserve">PAGEREF _Toc445709167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68">
            <w:r>
              <w:rPr>
                <w:webHidden/>
                <w:rStyle w:val="Sautdindex"/>
                <w:vanish w:val="false"/>
                <w:sz w:val="22"/>
                <w:szCs w:val="22"/>
              </w:rPr>
              <w:t>4.2</w:t>
            </w:r>
            <w:r>
              <w:rPr>
                <w:rStyle w:val="Sautdindex"/>
                <w:rFonts w:eastAsia="" w:cs="" w:ascii="Calibri" w:hAnsi="Calibri" w:asciiTheme="minorHAnsi" w:cstheme="minorBidi" w:eastAsiaTheme="minorEastAsia" w:hAnsiTheme="minorHAnsi"/>
                <w:sz w:val="22"/>
                <w:szCs w:val="22"/>
              </w:rPr>
              <w:tab/>
            </w:r>
            <w:r>
              <w:rPr>
                <w:rStyle w:val="Sautdindex"/>
                <w:sz w:val="22"/>
                <w:szCs w:val="22"/>
              </w:rPr>
              <w:t>Modification de la convention</w:t>
            </w:r>
            <w:r>
              <w:rPr>
                <w:webHidden/>
              </w:rPr>
              <w:fldChar w:fldCharType="begin"/>
            </w:r>
            <w:r>
              <w:rPr>
                <w:webHidden/>
              </w:rPr>
              <w:instrText xml:space="preserve">PAGEREF _Toc445709168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clear" w:pos="420"/>
              <w:tab w:val="left" w:pos="880" w:leader="none"/>
              <w:tab w:val="right" w:pos="9060" w:leader="dot"/>
            </w:tabs>
            <w:spacing w:before="120" w:after="0"/>
            <w:rPr/>
          </w:pPr>
          <w:hyperlink w:anchor="_Toc445709169">
            <w:r>
              <w:rPr>
                <w:webHidden/>
                <w:rStyle w:val="Sautdindex"/>
                <w:vanish w:val="false"/>
                <w:sz w:val="22"/>
                <w:szCs w:val="22"/>
              </w:rPr>
              <w:t>4.3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Résiliation de la convention </w:t>
            </w:r>
            <w:r>
              <w:rPr>
                <w:rStyle w:val="Sautdindex"/>
                <w:i/>
                <w:sz w:val="22"/>
                <w:szCs w:val="22"/>
              </w:rPr>
              <w:t>[collectivités non soumises à l’obligation de transmission par voie électronique en application de la loi NOTRe]</w:t>
            </w:r>
            <w:r>
              <w:rPr>
                <w:webHidden/>
              </w:rPr>
              <w:fldChar w:fldCharType="begin"/>
            </w:r>
            <w:r>
              <w:rPr>
                <w:webHidden/>
              </w:rPr>
              <w:instrText xml:space="preserve">PAGEREF _Toc445709169 \h</w:instrText>
            </w:r>
            <w:r>
              <w:rPr>
                <w:webHidden/>
              </w:rPr>
              <w:fldChar w:fldCharType="separate"/>
            </w:r>
            <w:r>
              <w:rPr>
                <w:rStyle w:val="Sautdindex"/>
                <w:vanish w:val="false"/>
                <w:sz w:val="22"/>
                <w:szCs w:val="22"/>
              </w:rPr>
              <w:tab/>
              <w:t>8</w:t>
            </w:r>
            <w:r>
              <w:rPr>
                <w:webHidden/>
              </w:rPr>
              <w:fldChar w:fldCharType="end"/>
            </w:r>
          </w:hyperlink>
          <w:r>
            <w:rPr>
              <w:rStyle w:val="Sautdindex"/>
              <w:sz w:val="22"/>
              <w:szCs w:val="22"/>
              <w:vanish w:val="false"/>
            </w:rPr>
            <w:fldChar w:fldCharType="end"/>
          </w:r>
        </w:p>
      </w:sdtContent>
    </w:sdt>
    <w:p>
      <w:pPr>
        <w:pStyle w:val="Normal"/>
        <w:spacing w:before="120" w:after="0"/>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r>
    </w:p>
    <w:p>
      <w:pPr>
        <w:pStyle w:val="Style11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21"/>
        <w:jc w:val="both"/>
        <w:rPr>
          <w:color w:val="244061"/>
        </w:rPr>
      </w:pPr>
      <w:r>
        <w:rPr>
          <w:color w:val="244061"/>
        </w:rPr>
      </w:r>
    </w:p>
    <w:p>
      <w:pPr>
        <w:pStyle w:val="Style111"/>
        <w:rPr>
          <w:color w:val="244061"/>
        </w:rPr>
      </w:pPr>
      <w:r>
        <w:rPr>
          <w:color w:val="244061"/>
        </w:rPr>
      </w:r>
    </w:p>
    <w:p>
      <w:pPr>
        <w:pStyle w:val="Style111"/>
        <w:rPr/>
      </w:pPr>
      <w:r>
        <w:rPr/>
        <w:t>PRÉAMBULE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widowControl/>
        <w:numPr>
          <w:ilvl w:val="0"/>
          <w:numId w:val="1"/>
        </w:numPr>
        <w:suppressAutoHyphens w:val="true"/>
        <w:overflowPunct w:val="true"/>
        <w:bidi w:val="0"/>
        <w:spacing w:before="120" w:after="0"/>
        <w:ind w:left="0" w:right="0" w:hanging="0"/>
        <w:jc w:val="both"/>
        <w:rPr/>
      </w:pPr>
      <w:r>
        <w:rPr/>
        <w:t xml:space="preserve">La présente convention a pour objet de fixer les modalités des échanges </w:t>
      </w:r>
      <w:r>
        <w:rPr>
          <w:color w:val="000000"/>
        </w:rPr>
        <w:t>électroniques intervenant dans le cadre</w:t>
      </w:r>
      <w:r>
        <w:rPr>
          <w:strike w:val="false"/>
          <w:dstrike w:val="false"/>
          <w:color w:val="000000"/>
        </w:rPr>
        <w:t xml:space="preserve"> </w:t>
      </w:r>
      <w:r>
        <w:rPr>
          <w:strike w:val="false"/>
          <w:dstrike w:val="false"/>
          <w:color w:val="000000"/>
          <w:shd w:fill="auto" w:val="clear"/>
        </w:rPr>
        <w:t>de l’obligation de transmission</w:t>
      </w:r>
      <w:r>
        <w:rPr>
          <w:color w:val="000000"/>
          <w:shd w:fill="auto" w:val="clear"/>
        </w:rPr>
        <w:t xml:space="preserve"> prévu </w:t>
      </w:r>
      <w:r>
        <w:rPr>
          <w:color w:val="000000"/>
        </w:rPr>
        <w:t xml:space="preserve">aux articles L. 2131-1 et L. 5211-3 du </w:t>
      </w:r>
      <w:r>
        <w:rPr>
          <w:color w:val="000000"/>
        </w:rPr>
        <w:t>c</w:t>
      </w:r>
      <w:r>
        <w:rPr>
          <w:color w:val="000000"/>
        </w:rPr>
        <w:t>ode général des collectivités territoriales.</w:t>
      </w:r>
    </w:p>
    <w:p>
      <w:pPr>
        <w:pStyle w:val="Retraitdecorpsdetexte"/>
        <w:rPr/>
      </w:pPr>
      <w:r>
        <w:rPr/>
        <w:t xml:space="preserve"> </w:t>
      </w:r>
      <w:r>
        <w:rPr>
          <w:rFonts w:eastAsia="Times New Roman" w:cs="Times New Roman"/>
        </w:rPr>
        <w:t xml:space="preserve">À </w:t>
      </w:r>
      <w:r>
        <w:rPr/>
        <w:t>cette fin, elle établit les engagements des parties visant à assurer l’intégrité des informations échangées ainsi que les modalités de ces échanges pour qu’ils soient substitués de plein droit aux modes d’échanges de droit commun.</w:t>
      </w:r>
    </w:p>
    <w:p>
      <w:pPr>
        <w:pStyle w:val="Titre1"/>
        <w:numPr>
          <w:ilvl w:val="0"/>
          <w:numId w:val="2"/>
        </w:numPr>
        <w:rPr/>
      </w:pPr>
      <w:bookmarkStart w:id="1" w:name="_Toc445709147"/>
      <w:bookmarkEnd w:id="1"/>
      <w:r>
        <w:rPr/>
        <w:t>PARTIES PRENANTES A LA CONVENTION</w:t>
      </w:r>
    </w:p>
    <w:p>
      <w:pPr>
        <w:pStyle w:val="Retraitdecorpsdetexte"/>
        <w:rPr>
          <w:rFonts w:ascii="Times New Roman" w:hAnsi="Times New Roman" w:eastAsia="Times New Roman" w:cs="Times New Roman"/>
          <w:color w:val="00000A"/>
          <w:sz w:val="24"/>
          <w:szCs w:val="24"/>
          <w:lang w:val="fr-FR" w:eastAsia="fr-FR" w:bidi="ar-SA"/>
        </w:rPr>
      </w:pPr>
      <w:r>
        <w:rPr/>
        <w:t>La présente convention est passée entre :</w:t>
      </w:r>
    </w:p>
    <w:p>
      <w:pPr>
        <w:pStyle w:val="Retraitdecorpsdetexte"/>
        <w:rPr/>
      </w:pPr>
      <w:r>
        <w:rPr>
          <w:b/>
        </w:rPr>
        <w:t>1)</w:t>
      </w:r>
      <w:r>
        <w:rPr/>
        <w:t xml:space="preserve"> La </w:t>
      </w:r>
      <w:r>
        <w:rPr>
          <w:b/>
          <w:bCs/>
        </w:rPr>
        <w:t>préfecture d’Ille-et-Vilaine</w:t>
      </w:r>
      <w:r>
        <w:rPr>
          <w:b/>
        </w:rPr>
        <w:t xml:space="preserve"> </w:t>
      </w:r>
      <w:r>
        <w:rPr/>
        <w:t>représentée par le Préfet ci-après désignée : le « </w:t>
      </w:r>
      <w:r>
        <w:rPr>
          <w:b/>
        </w:rPr>
        <w:t>représentant de l’État</w:t>
      </w:r>
      <w:r>
        <w:rPr/>
        <w:t> ».</w:t>
      </w:r>
    </w:p>
    <w:p>
      <w:pPr>
        <w:pStyle w:val="Retraitdecorpsdetexte"/>
        <w:rPr/>
      </w:pPr>
      <w:r>
        <w:rPr>
          <w:b/>
        </w:rPr>
        <w:t>2)</w:t>
      </w:r>
      <w:r>
        <w:rPr/>
        <w:t xml:space="preserve"> Et la</w:t>
      </w:r>
      <w:r>
        <w:rPr>
          <w:b/>
        </w:rPr>
        <w:t xml:space="preserve"> </w:t>
      </w:r>
      <w:bookmarkStart w:id="2" w:name="__DdeLink__12726_1735537171"/>
      <w:r>
        <w:rPr>
          <w:b/>
          <w:highlight w:val="yellow"/>
        </w:rPr>
        <w:t>[type de collectivité]</w:t>
      </w:r>
      <w:bookmarkEnd w:id="2"/>
      <w:r>
        <w:rPr>
          <w:b/>
          <w:highlight w:val="yellow"/>
        </w:rPr>
        <w:t xml:space="preserve"> </w:t>
      </w:r>
      <w:r>
        <w:rPr>
          <w:rStyle w:val="Style4Car"/>
          <w:b w:val="false"/>
          <w:bCs w:val="false"/>
          <w:color w:val="000000"/>
          <w:highlight w:val="yellow"/>
        </w:rPr>
        <w:t>de + nom</w:t>
      </w:r>
      <w:r>
        <w:rPr/>
        <w:t xml:space="preserve">, représentée par son président, </w:t>
      </w:r>
      <w:r>
        <w:rPr>
          <w:shd w:fill="FFFF00" w:val="clear"/>
        </w:rPr>
        <w:t>Monsieur/Madame + nom</w:t>
      </w:r>
      <w:r>
        <w:rPr/>
        <w:t>,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collectivité » :</w:t>
      </w:r>
      <w:r>
        <w:rPr>
          <w:color w:val="00000A"/>
        </w:rPr>
        <w:t xml:space="preserve"> </w:t>
      </w:r>
      <w:r>
        <w:rPr>
          <w:color w:val="000000"/>
        </w:rPr>
        <w:t>(nom de l’arrondissement et code de l’arrondissement)</w:t>
      </w:r>
    </w:p>
    <w:p>
      <w:pPr>
        <w:pStyle w:val="Style41"/>
        <w:rPr>
          <w:color w:val="000000"/>
        </w:rPr>
      </w:pPr>
      <w:r>
        <w:rPr>
          <w:color w:val="000000"/>
        </w:rPr>
      </w:r>
    </w:p>
    <w:p>
      <w:pPr>
        <w:pStyle w:val="Style41"/>
        <w:rPr>
          <w:color w:val="000000"/>
        </w:rPr>
      </w:pPr>
      <w:r>
        <w:rPr>
          <w:color w:val="000000"/>
        </w:rPr>
      </w:r>
    </w:p>
    <w:p>
      <w:pPr>
        <w:pStyle w:val="Style41"/>
        <w:rPr>
          <w:color w:val="000000"/>
        </w:rPr>
      </w:pPr>
      <w:r>
        <w:rPr>
          <w:color w:val="000000"/>
        </w:rPr>
      </w:r>
    </w:p>
    <w:p>
      <w:pPr>
        <w:pStyle w:val="Style41"/>
        <w:rPr>
          <w:color w:val="000000"/>
        </w:rPr>
      </w:pPr>
      <w:r>
        <w:rPr>
          <w:color w:val="000000"/>
        </w:rPr>
      </w:r>
    </w:p>
    <w:p>
      <w:pPr>
        <w:pStyle w:val="Style41"/>
        <w:rPr>
          <w:color w:val="000000"/>
        </w:rPr>
      </w:pPr>
      <w:r>
        <w:rPr>
          <w:color w:val="000000"/>
        </w:rPr>
      </w:r>
    </w:p>
    <w:p>
      <w:pPr>
        <w:pStyle w:val="Titre1"/>
        <w:numPr>
          <w:ilvl w:val="0"/>
          <w:numId w:val="2"/>
        </w:numPr>
        <w:rPr/>
      </w:pPr>
      <w:bookmarkStart w:id="3" w:name="_Toc445709148"/>
      <w:bookmarkEnd w:id="3"/>
      <w:r>
        <w:rPr/>
        <w:t>PARTENAIRES DU MINISTÈRE DE L’INTÉRIEUR</w:t>
      </w:r>
    </w:p>
    <w:p>
      <w:pPr>
        <w:pStyle w:val="Normal"/>
        <w:rPr/>
      </w:pPr>
      <w:r>
        <w:rPr/>
      </w:r>
    </w:p>
    <w:p>
      <w:pPr>
        <w:pStyle w:val="Titre2"/>
        <w:numPr>
          <w:ilvl w:val="1"/>
          <w:numId w:val="2"/>
        </w:numPr>
        <w:rPr>
          <w:rFonts w:ascii="Times New Roman" w:hAnsi="Times New Roman" w:eastAsia="Times New Roman" w:cs="Times New Roman"/>
          <w:b/>
          <w:bCs/>
          <w:color w:val="244061"/>
          <w:sz w:val="24"/>
          <w:szCs w:val="24"/>
          <w:lang w:val="fr-FR" w:eastAsia="fr-FR" w:bidi="ar-SA"/>
        </w:rPr>
      </w:pPr>
      <w:bookmarkStart w:id="4" w:name="_Toc445709149"/>
      <w:bookmarkEnd w:id="4"/>
      <w:r>
        <w:rPr/>
        <w:t>L’opérateur de transmission et son dispositif</w:t>
      </w:r>
    </w:p>
    <w:p>
      <w:pPr>
        <w:pStyle w:val="Article"/>
        <w:widowControl/>
        <w:numPr>
          <w:ilvl w:val="0"/>
          <w:numId w:val="1"/>
        </w:numPr>
        <w:suppressAutoHyphens w:val="true"/>
        <w:overflowPunct w:val="true"/>
        <w:bidi w:val="0"/>
        <w:spacing w:before="120" w:after="0"/>
        <w:ind w:left="0" w:right="0" w:hanging="0"/>
        <w:jc w:val="both"/>
        <w:rPr/>
      </w:pPr>
      <w:r>
        <w:rPr/>
        <w:t>Pour recourir à la transmission électronique, la collectivité s’engage à utiliser le dispositif suivant :</w:t>
      </w:r>
      <w:r>
        <w:rPr>
          <w:rStyle w:val="Style4Car"/>
        </w:rPr>
        <w:t xml:space="preserve"> </w:t>
      </w:r>
      <w:r>
        <w:rPr>
          <w:rStyle w:val="Style4Car"/>
          <w:color w:val="000000"/>
          <w:highlight w:val="yellow"/>
        </w:rPr>
        <w:t xml:space="preserve">nom du dispositif </w:t>
      </w:r>
      <w:r>
        <w:rPr>
          <w:color w:val="000000"/>
          <w:shd w:fill="FFFF66" w:val="clear"/>
        </w:rPr>
        <w:t>de transmission</w:t>
      </w:r>
      <w:r>
        <w:rPr>
          <w:rStyle w:val="Style4Car"/>
          <w:color w:val="00000A"/>
        </w:rPr>
        <w:t xml:space="preserve">. Celui-ci a fait l’objet d’une homologation le </w:t>
      </w:r>
      <w:r>
        <w:rPr>
          <w:rStyle w:val="Style4Car"/>
          <w:color w:val="000000"/>
          <w:highlight w:val="yellow"/>
        </w:rPr>
        <w:t xml:space="preserve">date </w:t>
      </w:r>
      <w:r>
        <w:rPr>
          <w:rStyle w:val="Style4Car"/>
        </w:rPr>
        <w:t xml:space="preserve"> </w:t>
      </w:r>
      <w:r>
        <w:rPr/>
        <w:t>par le ministère de l’Intérieur</w:t>
      </w:r>
      <w:r>
        <w:rPr>
          <w:rStyle w:val="Style4Car"/>
          <w:color w:val="00000A"/>
        </w:rPr>
        <w:t>.</w:t>
      </w:r>
    </w:p>
    <w:p>
      <w:pPr>
        <w:pStyle w:val="Retraitdecorpsdetexte"/>
        <w:rPr/>
      </w:pPr>
      <w:r>
        <w:rPr>
          <w:shd w:fill="FFFF66" w:val="clear"/>
        </w:rPr>
        <w:t xml:space="preserve">[nom de l’opérateur de transmission] </w:t>
      </w:r>
      <w:r>
        <w:rPr/>
        <w:t xml:space="preserve">chargé de l’exploitation du dispositif homologué, désignée ci-après « opérateur de transmission » est chargé de la transmission électronique des actes de la collectivité, en vertu d’un marché signé le </w:t>
      </w:r>
      <w:r>
        <w:rPr>
          <w:rStyle w:val="Style4Car"/>
          <w:color w:val="000000"/>
          <w:highlight w:val="yellow"/>
        </w:rPr>
        <w:t>date pour une durée de ….. années</w:t>
      </w:r>
      <w:r>
        <w:rPr>
          <w:rStyle w:val="Style4Car"/>
        </w:rPr>
        <w:t>.</w:t>
      </w:r>
    </w:p>
    <w:p>
      <w:pPr>
        <w:pStyle w:val="Retraitdecorpsdetexte"/>
        <w:rPr>
          <w:rStyle w:val="Style4Car"/>
          <w:sz w:val="12"/>
          <w:szCs w:val="12"/>
        </w:rPr>
      </w:pPr>
      <w:r>
        <w:rPr>
          <w:sz w:val="12"/>
          <w:szCs w:val="12"/>
        </w:rPr>
      </w:r>
    </w:p>
    <w:p>
      <w:pPr>
        <w:pStyle w:val="Titre2"/>
        <w:numPr>
          <w:ilvl w:val="1"/>
          <w:numId w:val="2"/>
        </w:numPr>
        <w:rPr>
          <w:b/>
          <w:bCs/>
          <w:color w:val="244061"/>
          <w:sz w:val="24"/>
          <w:szCs w:val="24"/>
        </w:rPr>
      </w:pPr>
      <w:bookmarkStart w:id="5" w:name="_Toc445709150"/>
      <w:bookmarkEnd w:id="5"/>
      <w:r>
        <w:rPr/>
        <w:t>Identification de la collectivité</w:t>
      </w:r>
    </w:p>
    <w:p>
      <w:pPr>
        <w:pStyle w:val="Article"/>
        <w:widowControl/>
        <w:numPr>
          <w:ilvl w:val="0"/>
          <w:numId w:val="1"/>
        </w:numPr>
        <w:suppressAutoHyphens w:val="true"/>
        <w:overflowPunct w:val="true"/>
        <w:bidi w:val="0"/>
        <w:spacing w:before="120" w:after="0"/>
        <w:ind w:left="0" w:right="0" w:hanging="0"/>
        <w:jc w:val="both"/>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Article"/>
        <w:rPr>
          <w:sz w:val="12"/>
          <w:szCs w:val="12"/>
        </w:rPr>
      </w:pPr>
      <w:r>
        <w:rPr>
          <w:sz w:val="12"/>
          <w:szCs w:val="12"/>
        </w:rPr>
      </w:r>
    </w:p>
    <w:p>
      <w:pPr>
        <w:pStyle w:val="Titre2"/>
        <w:numPr>
          <w:ilvl w:val="1"/>
          <w:numId w:val="2"/>
        </w:numPr>
        <w:rPr/>
      </w:pPr>
      <w:bookmarkStart w:id="6" w:name="_Toc445709151"/>
      <w:r>
        <w:rPr/>
        <w:t xml:space="preserve">L’opérateur de mutualisation </w:t>
      </w:r>
      <w:bookmarkEnd w:id="6"/>
      <w:r>
        <w:rPr>
          <w:i/>
          <w:color w:val="00000A"/>
          <w:sz w:val="22"/>
          <w:szCs w:val="22"/>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pPr>
      <w:r>
        <w:rPr>
          <w:color w:val="000000"/>
          <w:shd w:fill="FFFF00" w:val="clear"/>
        </w:rPr>
        <w:t xml:space="preserve">Adresse postale : </w:t>
      </w:r>
    </w:p>
    <w:p>
      <w:pPr>
        <w:pStyle w:val="Style41"/>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sz w:val="12"/>
          <w:szCs w:val="12"/>
          <w:highlight w:val="yellow"/>
        </w:rPr>
      </w:pPr>
      <w:r>
        <w:rPr>
          <w:color w:val="000000"/>
          <w:sz w:val="12"/>
          <w:szCs w:val="12"/>
          <w:highlight w:val="yellow"/>
        </w:rPr>
      </w:r>
    </w:p>
    <w:p>
      <w:pPr>
        <w:pStyle w:val="Style41"/>
        <w:rPr>
          <w:color w:val="000000"/>
          <w:sz w:val="12"/>
          <w:szCs w:val="12"/>
          <w:highlight w:val="yellow"/>
        </w:rPr>
      </w:pPr>
      <w:r>
        <w:rPr>
          <w:color w:val="000000"/>
          <w:sz w:val="12"/>
          <w:szCs w:val="12"/>
          <w:highlight w:val="yellow"/>
        </w:rPr>
      </w:r>
    </w:p>
    <w:p>
      <w:pPr>
        <w:pStyle w:val="Titre1"/>
        <w:numPr>
          <w:ilvl w:val="0"/>
          <w:numId w:val="2"/>
        </w:numPr>
        <w:rPr>
          <w:b/>
          <w:bCs/>
          <w:color w:val="244061"/>
          <w:sz w:val="24"/>
          <w:szCs w:val="24"/>
        </w:rPr>
      </w:pPr>
      <w:bookmarkStart w:id="7" w:name="_Toc445709152"/>
      <w:bookmarkEnd w:id="7"/>
      <w:r>
        <w:rPr/>
        <w:t>ENGAGEMENTS SUR LA MISE EN ŒUVRE DE LA TRANSMISSION ÉLECTRONIQUE</w:t>
      </w:r>
    </w:p>
    <w:p>
      <w:pPr>
        <w:pStyle w:val="Titre2"/>
        <w:numPr>
          <w:ilvl w:val="1"/>
          <w:numId w:val="2"/>
        </w:numPr>
        <w:rPr/>
      </w:pPr>
      <w:bookmarkStart w:id="8" w:name="_Toc445709153"/>
      <w:bookmarkEnd w:id="8"/>
      <w:r>
        <w:rPr/>
        <w:t>Clauses nationales</w:t>
      </w:r>
    </w:p>
    <w:p>
      <w:pPr>
        <w:pStyle w:val="Normal"/>
        <w:rPr>
          <w:b/>
          <w:bCs/>
          <w:color w:val="244061"/>
          <w:sz w:val="24"/>
          <w:szCs w:val="24"/>
        </w:rPr>
      </w:pPr>
      <w:r>
        <w:rPr>
          <w:b/>
          <w:bCs/>
          <w:color w:val="244061"/>
          <w:sz w:val="24"/>
          <w:szCs w:val="24"/>
        </w:rPr>
      </w:r>
    </w:p>
    <w:p>
      <w:pPr>
        <w:pStyle w:val="Titre3"/>
        <w:numPr>
          <w:ilvl w:val="2"/>
          <w:numId w:val="2"/>
        </w:numPr>
        <w:shd w:val="clear" w:fill="FFFFFF"/>
        <w:rPr/>
      </w:pPr>
      <w:bookmarkStart w:id="9" w:name="_Toc445709154"/>
      <w:bookmarkEnd w:id="9"/>
      <w:r>
        <w:rPr/>
        <w:t>Organisation des échanges</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hanging="0"/>
        <w:jc w:val="both"/>
        <w:rPr/>
      </w:pPr>
      <w:r>
        <w:rPr/>
        <w:t>La collectivité s’engage à transmettre au représentant de l’État les actes mentionné</w:t>
      </w:r>
      <w:r>
        <w:rPr>
          <w:color w:val="000000"/>
        </w:rPr>
        <w:t>s à l’article L. 2131-2 du CGCT e</w:t>
      </w:r>
      <w:r>
        <w:rPr/>
        <w:t>t les actes demandés par ce dernier en vertu des dispositions</w:t>
      </w:r>
      <w:r>
        <w:rPr>
          <w:color w:val="000000"/>
        </w:rPr>
        <w:t xml:space="preserve"> du </w:t>
      </w:r>
      <w:r>
        <w:rPr/>
        <w:t>l’alinéa 2 de l’article L. 2131-1 et de l</w:t>
      </w:r>
      <w:r>
        <w:rPr>
          <w:color w:val="000000"/>
        </w:rPr>
        <w:t>’</w:t>
      </w:r>
      <w:r>
        <w:rPr/>
        <w:t xml:space="preserve">article </w:t>
      </w:r>
      <w:r>
        <w:rPr>
          <w:color w:val="000000"/>
        </w:rPr>
        <w:t>L. 5211-3</w:t>
      </w:r>
      <w:r>
        <w:rPr/>
        <w:t xml:space="preserve"> du CGCT</w:t>
      </w:r>
      <w:r>
        <w:rPr>
          <w:color w:val="000000"/>
          <w:shd w:fill="FFFFFF" w:val="clear"/>
        </w:rPr>
        <w:t>.</w:t>
      </w:r>
    </w:p>
    <w:p>
      <w:pPr>
        <w:pStyle w:val="Retraitdecorpsdetexte"/>
        <w:bidi w:val="0"/>
        <w:spacing w:before="0" w:after="0"/>
        <w:jc w:val="left"/>
        <w:rPr/>
      </w:pPr>
      <w:r>
        <w:rPr/>
        <w:t>Un accusé de réception électronique est délivré automatiquement pour chaque acte. Il atteste de la réception de ces derniers par le représentant de l’État.</w:t>
      </w:r>
    </w:p>
    <w:p>
      <w:pPr>
        <w:pStyle w:val="Retraitdecorpsdetexte"/>
        <w:bidi w:val="0"/>
        <w:spacing w:before="0" w:after="0"/>
        <w:jc w:val="left"/>
        <w:rPr/>
      </w:pPr>
      <w:r>
        <w:rPr/>
      </w:r>
    </w:p>
    <w:p>
      <w:pPr>
        <w:pStyle w:val="Retraitdecorpsdetexte"/>
        <w:bidi w:val="0"/>
        <w:spacing w:before="0" w:after="0"/>
        <w:jc w:val="left"/>
        <w:rPr/>
      </w:pPr>
      <w:r>
        <w:rPr/>
      </w:r>
    </w:p>
    <w:p>
      <w:pPr>
        <w:pStyle w:val="Retraitdecorpsdetexte"/>
        <w:bidi w:val="0"/>
        <w:spacing w:before="0" w:after="0"/>
        <w:jc w:val="left"/>
        <w:rPr/>
      </w:pPr>
      <w:r>
        <w:rPr/>
      </w:r>
    </w:p>
    <w:p>
      <w:pPr>
        <w:pStyle w:val="Article"/>
        <w:widowControl/>
        <w:numPr>
          <w:ilvl w:val="0"/>
          <w:numId w:val="1"/>
        </w:numPr>
        <w:suppressAutoHyphens w:val="true"/>
        <w:overflowPunct w:val="true"/>
        <w:bidi w:val="0"/>
        <w:spacing w:before="0" w:after="0"/>
        <w:ind w:left="0" w:right="0" w:hanging="0"/>
        <w:jc w:val="both"/>
        <w:rPr/>
      </w:pPr>
      <w:r>
        <w:rPr/>
        <w:t>La collectivité s’engage à transmettre, dans la mesure de ses facultés, les actes sous forme électronique au format natif. Si cela est impossible, elle peut transmettre ces actes numérisés.</w:t>
      </w:r>
    </w:p>
    <w:p>
      <w:pPr>
        <w:pStyle w:val="Article"/>
        <w:widowControl/>
        <w:suppressAutoHyphens w:val="true"/>
        <w:overflowPunct w:val="true"/>
        <w:bidi w:val="0"/>
        <w:spacing w:before="0" w:after="0"/>
        <w:ind w:left="0" w:right="0" w:hanging="0"/>
        <w:jc w:val="both"/>
        <w:rPr/>
      </w:pPr>
      <w:r>
        <w:rPr/>
      </w:r>
    </w:p>
    <w:p>
      <w:pPr>
        <w:pStyle w:val="Article"/>
        <w:numPr>
          <w:ilvl w:val="0"/>
          <w:numId w:val="1"/>
        </w:numPr>
        <w:bidi w:val="0"/>
        <w:spacing w:before="0" w:after="0"/>
        <w:jc w:val="left"/>
        <w:rPr/>
      </w:pPr>
      <w:r>
        <w:rPr/>
        <w:t>La double transmission d’un acte est interdite.</w:t>
      </w:r>
    </w:p>
    <w:p>
      <w:pPr>
        <w:pStyle w:val="Retraitdecorpsdetexte"/>
        <w:bidi w:val="0"/>
        <w:spacing w:before="0" w:after="0"/>
        <w:jc w:val="left"/>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bidi w:val="0"/>
        <w:spacing w:before="0" w:after="0"/>
        <w:jc w:val="left"/>
        <w:rPr/>
      </w:pPr>
      <w:r>
        <w:rPr/>
      </w:r>
    </w:p>
    <w:p>
      <w:pPr>
        <w:pStyle w:val="Titre3"/>
        <w:numPr>
          <w:ilvl w:val="2"/>
          <w:numId w:val="2"/>
        </w:numPr>
        <w:shd w:val="clear" w:fill="FFFFFF"/>
        <w:rPr/>
      </w:pPr>
      <w:bookmarkStart w:id="10" w:name="_Toc445709155"/>
      <w:bookmarkEnd w:id="10"/>
      <w:r>
        <w:rPr/>
        <w:t>Signature</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hanging="0"/>
        <w:jc w:val="both"/>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bidi w:val="0"/>
        <w:spacing w:before="0" w:after="0"/>
        <w:jc w:val="left"/>
        <w:rPr/>
      </w:pPr>
      <w:r>
        <w:rPr/>
        <w:t>Elle mentionne sur les actes transmis par voie électronique le prénom, le nom et la qualité du signataire.</w:t>
      </w:r>
    </w:p>
    <w:p>
      <w:pPr>
        <w:pStyle w:val="Retraitdecorpsdetexte"/>
        <w:bidi w:val="0"/>
        <w:spacing w:before="0" w:after="0"/>
        <w:jc w:val="left"/>
        <w:rPr/>
      </w:pPr>
      <w:r>
        <w:rPr/>
      </w:r>
    </w:p>
    <w:p>
      <w:pPr>
        <w:pStyle w:val="Article"/>
        <w:widowControl/>
        <w:numPr>
          <w:ilvl w:val="0"/>
          <w:numId w:val="1"/>
        </w:numPr>
        <w:suppressAutoHyphens w:val="true"/>
        <w:overflowPunct w:val="true"/>
        <w:bidi w:val="0"/>
        <w:spacing w:before="0" w:after="0"/>
        <w:ind w:left="0" w:right="0" w:hanging="0"/>
        <w:jc w:val="both"/>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overflowPunct w:val="true"/>
        <w:bidi w:val="0"/>
        <w:spacing w:before="0" w:after="0"/>
        <w:ind w:left="0" w:right="0" w:hanging="0"/>
        <w:jc w:val="both"/>
        <w:rPr/>
      </w:pPr>
      <w:r>
        <w:rPr/>
        <w:t>Lorsque cela est possible, la collectivité transmet des actes signés électroniquement dans les conditions prévues à l’article L. 212-3 du Code des relations entre le public et l’administration.</w:t>
      </w:r>
    </w:p>
    <w:p>
      <w:pPr>
        <w:pStyle w:val="Article"/>
        <w:numPr>
          <w:ilvl w:val="0"/>
          <w:numId w:val="0"/>
        </w:numPr>
        <w:bidi w:val="0"/>
        <w:spacing w:before="0" w:after="0"/>
        <w:ind w:left="0" w:hanging="0"/>
        <w:jc w:val="left"/>
        <w:rPr>
          <w:sz w:val="24"/>
          <w:szCs w:val="24"/>
        </w:rPr>
      </w:pPr>
      <w:r>
        <w:rPr>
          <w:sz w:val="24"/>
          <w:szCs w:val="24"/>
        </w:rPr>
      </w:r>
    </w:p>
    <w:p>
      <w:pPr>
        <w:pStyle w:val="Titre3"/>
        <w:numPr>
          <w:ilvl w:val="2"/>
          <w:numId w:val="2"/>
        </w:numPr>
        <w:shd w:val="clear" w:fill="FFFFFF"/>
        <w:rPr/>
      </w:pPr>
      <w:bookmarkStart w:id="11" w:name="_Toc445709156"/>
      <w:bookmarkEnd w:id="11"/>
      <w:r>
        <w:rPr/>
        <w:t>Confidentialité</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hanging="0"/>
        <w:jc w:val="both"/>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bidi w:val="0"/>
        <w:spacing w:before="0" w:after="0"/>
        <w:jc w:val="left"/>
        <w:rPr/>
      </w:pPr>
      <w:r>
        <w:rPr/>
        <w:t>Ces informations doivent être conservées et stockées de façon à ce qu’elles soient protégées d’actions malveillantes.</w:t>
      </w:r>
    </w:p>
    <w:p>
      <w:pPr>
        <w:pStyle w:val="Retraitdecorpsdetexte"/>
        <w:bidi w:val="0"/>
        <w:spacing w:before="0" w:after="0"/>
        <w:jc w:val="left"/>
        <w:rPr/>
      </w:pPr>
      <w:r>
        <w:rPr/>
      </w:r>
    </w:p>
    <w:p>
      <w:pPr>
        <w:pStyle w:val="Article"/>
        <w:widowControl/>
        <w:numPr>
          <w:ilvl w:val="0"/>
          <w:numId w:val="1"/>
        </w:numPr>
        <w:suppressAutoHyphens w:val="true"/>
        <w:overflowPunct w:val="true"/>
        <w:bidi w:val="0"/>
        <w:spacing w:before="0" w:after="0"/>
        <w:ind w:left="0" w:right="0" w:hanging="0"/>
        <w:jc w:val="both"/>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numPr>
          <w:ilvl w:val="0"/>
          <w:numId w:val="0"/>
        </w:numPr>
        <w:ind w:left="0" w:hanging="0"/>
        <w:rPr>
          <w:sz w:val="24"/>
          <w:szCs w:val="24"/>
        </w:rPr>
      </w:pPr>
      <w:r>
        <w:rPr>
          <w:sz w:val="24"/>
          <w:szCs w:val="24"/>
        </w:rPr>
      </w:r>
    </w:p>
    <w:p>
      <w:pPr>
        <w:pStyle w:val="Titre3"/>
        <w:numPr>
          <w:ilvl w:val="2"/>
          <w:numId w:val="2"/>
        </w:numPr>
        <w:shd w:val="clear" w:fill="FFFFFF"/>
        <w:rPr/>
      </w:pPr>
      <w:bookmarkStart w:id="12" w:name="_Toc445709157"/>
      <w:bookmarkEnd w:id="12"/>
      <w:r>
        <w:rPr/>
        <w:t>Interruptions programmées du service</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firstLine="57"/>
        <w:jc w:val="both"/>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Article"/>
        <w:widowControl/>
        <w:numPr>
          <w:ilvl w:val="0"/>
          <w:numId w:val="0"/>
        </w:numPr>
        <w:suppressAutoHyphens w:val="true"/>
        <w:overflowPunct w:val="true"/>
        <w:bidi w:val="0"/>
        <w:spacing w:before="0" w:after="0"/>
        <w:ind w:left="360" w:right="0" w:hanging="0"/>
        <w:jc w:val="both"/>
        <w:rPr/>
      </w:pPr>
      <w:r>
        <w:rPr/>
      </w:r>
    </w:p>
    <w:p>
      <w:pPr>
        <w:pStyle w:val="Retraitdecorpsdetexte"/>
        <w:bidi w:val="0"/>
        <w:spacing w:before="0" w:after="0"/>
        <w:jc w:val="left"/>
        <w:rPr/>
      </w:pPr>
      <w:r>
        <w:rPr/>
        <w:t>En cas d’interruption de l’accès à l’infrastructure technique pour cause de maintenance, il appartient à la collectivité d’attendre le rétablissement du service pour transmettre ses actes par voie électronique.</w:t>
      </w:r>
    </w:p>
    <w:p>
      <w:pPr>
        <w:pStyle w:val="Retraitdecorpsdetexte"/>
        <w:bidi w:val="0"/>
        <w:spacing w:before="0" w:after="0"/>
        <w:jc w:val="left"/>
        <w:rPr/>
      </w:pPr>
      <w:r>
        <w:rPr/>
      </w:r>
    </w:p>
    <w:p>
      <w:pPr>
        <w:pStyle w:val="Retraitdecorpsdetexte"/>
        <w:bidi w:val="0"/>
        <w:spacing w:before="0" w:after="0"/>
        <w:jc w:val="left"/>
        <w:rPr/>
      </w:pPr>
      <w:r>
        <w:rPr/>
      </w:r>
    </w:p>
    <w:p>
      <w:pPr>
        <w:pStyle w:val="Retraitdecorpsdetexte"/>
        <w:bidi w:val="0"/>
        <w:spacing w:before="0" w:after="0"/>
        <w:jc w:val="left"/>
        <w:rPr/>
      </w:pPr>
      <w:r>
        <w:rPr/>
      </w:r>
    </w:p>
    <w:p>
      <w:pPr>
        <w:pStyle w:val="Retraitdecorpsdetexte"/>
        <w:bidi w:val="0"/>
        <w:spacing w:before="0" w:after="0"/>
        <w:jc w:val="left"/>
        <w:rPr/>
      </w:pPr>
      <w:r>
        <w:rPr/>
      </w:r>
    </w:p>
    <w:p>
      <w:pPr>
        <w:pStyle w:val="Retraitdecorpsdetexte"/>
        <w:bidi w:val="0"/>
        <w:spacing w:before="0" w:after="0"/>
        <w:jc w:val="left"/>
        <w:rPr/>
      </w:pPr>
      <w:r>
        <w:rPr/>
      </w:r>
    </w:p>
    <w:p>
      <w:pPr>
        <w:pStyle w:val="Titre3"/>
        <w:numPr>
          <w:ilvl w:val="2"/>
          <w:numId w:val="2"/>
        </w:numPr>
        <w:shd w:val="clear" w:fill="FFFFFF"/>
        <w:rPr/>
      </w:pPr>
      <w:bookmarkStart w:id="13" w:name="_Toc445709158"/>
      <w:r>
        <w:rPr/>
        <w:t xml:space="preserve">Suspension et interruption de la transmission électronique </w:t>
      </w:r>
      <w:bookmarkEnd w:id="13"/>
      <w:r>
        <w:rPr>
          <w:i/>
          <w:strike w:val="false"/>
          <w:dstrike w:val="false"/>
          <w:color w:val="00000A"/>
          <w:sz w:val="22"/>
          <w:szCs w:val="22"/>
        </w:rPr>
        <w:t>[collectivités non soumises à l’obligation de transmission par voie électronique en application de la loi NOTRe]</w:t>
      </w:r>
    </w:p>
    <w:p>
      <w:pPr>
        <w:pStyle w:val="Normal"/>
        <w:shd w:val="clear" w:fill="FFFFFF"/>
        <w:rPr>
          <w:i/>
          <w:i/>
          <w:strike w:val="false"/>
          <w:dstrike w:val="false"/>
          <w:color w:val="00000A"/>
          <w:sz w:val="22"/>
          <w:szCs w:val="22"/>
        </w:rPr>
      </w:pPr>
      <w:r>
        <w:rPr>
          <w:i/>
          <w:strike w:val="false"/>
          <w:dstrike w:val="false"/>
          <w:color w:val="00000A"/>
          <w:sz w:val="22"/>
          <w:szCs w:val="22"/>
        </w:rPr>
      </w:r>
    </w:p>
    <w:p>
      <w:pPr>
        <w:pStyle w:val="Article"/>
        <w:widowControl/>
        <w:numPr>
          <w:ilvl w:val="0"/>
          <w:numId w:val="1"/>
        </w:numPr>
        <w:suppressAutoHyphens w:val="true"/>
        <w:overflowPunct w:val="true"/>
        <w:bidi w:val="0"/>
        <w:spacing w:before="0" w:after="0"/>
        <w:ind w:left="0" w:right="0" w:hanging="0"/>
        <w:jc w:val="both"/>
        <w:rPr/>
      </w:pPr>
      <w:r>
        <w:rPr/>
        <w:t>Sous réserve des dispositions législatives et réglementaires en vigueur, les parties peuvent suspendre l’application de la présente convention à tout moment.</w:t>
      </w:r>
    </w:p>
    <w:p>
      <w:pPr>
        <w:pStyle w:val="Retraitdecorpsdetexte"/>
        <w:bidi w:val="0"/>
        <w:spacing w:before="0" w:after="0"/>
        <w:jc w:val="left"/>
        <w:rPr/>
      </w:pPr>
      <w:r>
        <w:rPr/>
        <w:t>Le cas échéant, la décision est notifiée par écrit à l’autre partie. Cette notification doit intervenir au moins un mois avant la prise d’effet de la décision.</w:t>
      </w:r>
    </w:p>
    <w:p>
      <w:pPr>
        <w:pStyle w:val="Retraitdecorpsdetexte"/>
        <w:bidi w:val="0"/>
        <w:spacing w:before="0" w:after="0"/>
        <w:jc w:val="left"/>
        <w:rPr/>
      </w:pPr>
      <w:r>
        <w:rPr/>
        <w:t>À compter de cette date, les actes concernés et autres informations y afférents sont échangés dans les conditions de droit commun.</w:t>
      </w:r>
    </w:p>
    <w:p>
      <w:pPr>
        <w:pStyle w:val="Retraitdecorpsdetexte"/>
        <w:bidi w:val="0"/>
        <w:spacing w:before="0" w:after="0"/>
        <w:jc w:val="left"/>
        <w:rPr/>
      </w:pPr>
      <w:r>
        <w:rPr/>
      </w:r>
    </w:p>
    <w:p>
      <w:pPr>
        <w:pStyle w:val="Article"/>
        <w:widowControl/>
        <w:numPr>
          <w:ilvl w:val="0"/>
          <w:numId w:val="1"/>
        </w:numPr>
        <w:suppressAutoHyphens w:val="true"/>
        <w:overflowPunct w:val="true"/>
        <w:bidi w:val="0"/>
        <w:spacing w:before="0" w:after="0"/>
        <w:ind w:left="0" w:right="0" w:hanging="0"/>
        <w:jc w:val="both"/>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bidi w:val="0"/>
        <w:spacing w:before="0" w:after="0"/>
        <w:jc w:val="left"/>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pPr>
      <w:bookmarkStart w:id="14" w:name="_Toc445709159"/>
      <w:bookmarkEnd w:id="14"/>
      <w:r>
        <w:rPr/>
        <w:t>Preuve des échanges</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hanging="0"/>
        <w:jc w:val="both"/>
        <w:rPr/>
      </w:pPr>
      <w:r>
        <w:rPr/>
        <w:t>Les parties à la présente convention s’engagent à reconnaître la validité juridique des échanges électroniques intervenant dans le cadre du contrôle de légalité.</w:t>
      </w:r>
    </w:p>
    <w:p>
      <w:pPr>
        <w:pStyle w:val="Retraitdecorpsdetexte"/>
        <w:bidi w:val="0"/>
        <w:spacing w:before="0" w:after="0"/>
        <w:jc w:val="left"/>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pPr>
      <w:r>
        <w:rPr/>
      </w:r>
    </w:p>
    <w:p>
      <w:pPr>
        <w:pStyle w:val="Titre2"/>
        <w:numPr>
          <w:ilvl w:val="1"/>
          <w:numId w:val="2"/>
        </w:numPr>
        <w:rPr/>
      </w:pPr>
      <w:bookmarkStart w:id="15" w:name="_Toc445709160"/>
      <w:bookmarkEnd w:id="15"/>
      <w:r>
        <w:rPr/>
        <w:t>Clauses locales</w:t>
      </w:r>
    </w:p>
    <w:p>
      <w:pPr>
        <w:pStyle w:val="Normal"/>
        <w:rPr>
          <w:b/>
          <w:bCs/>
          <w:color w:val="244061"/>
          <w:sz w:val="24"/>
          <w:szCs w:val="24"/>
        </w:rPr>
      </w:pPr>
      <w:r>
        <w:rPr>
          <w:b/>
          <w:bCs/>
          <w:color w:val="244061"/>
          <w:sz w:val="24"/>
          <w:szCs w:val="24"/>
        </w:rPr>
      </w:r>
    </w:p>
    <w:p>
      <w:pPr>
        <w:pStyle w:val="Titre3"/>
        <w:numPr>
          <w:ilvl w:val="2"/>
          <w:numId w:val="2"/>
        </w:numPr>
        <w:shd w:val="clear" w:fill="FFFFFF"/>
        <w:rPr/>
      </w:pPr>
      <w:bookmarkStart w:id="16" w:name="_Toc445709161"/>
      <w:bookmarkEnd w:id="16"/>
      <w:r>
        <w:rPr/>
        <w:t>Classification des actes par matières</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hanging="0"/>
        <w:jc w:val="both"/>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bidi w:val="0"/>
        <w:spacing w:before="0" w:after="0"/>
        <w:jc w:val="left"/>
        <w:rPr/>
      </w:pPr>
      <w:r>
        <w:rPr/>
      </w:r>
    </w:p>
    <w:p>
      <w:pPr>
        <w:pStyle w:val="Titre3"/>
        <w:numPr>
          <w:ilvl w:val="2"/>
          <w:numId w:val="2"/>
        </w:numPr>
        <w:shd w:val="clear" w:fill="FFFFFF"/>
        <w:rPr/>
      </w:pPr>
      <w:bookmarkStart w:id="17" w:name="_Toc445709162"/>
      <w:bookmarkEnd w:id="17"/>
      <w:r>
        <w:rPr/>
        <w:t>Support mutuel</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overflowPunct w:val="true"/>
        <w:bidi w:val="0"/>
        <w:spacing w:before="0" w:after="0"/>
        <w:ind w:left="0" w:right="0" w:hanging="0"/>
        <w:jc w:val="both"/>
        <w:rPr/>
      </w:pPr>
      <w:r>
        <w:rPr/>
        <w:t xml:space="preserve">Dans l’exécution de la présente convention, les parties ont une obligation d’information mutuelle. </w:t>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Titre2"/>
        <w:numPr>
          <w:ilvl w:val="1"/>
          <w:numId w:val="2"/>
        </w:numPr>
        <w:rPr/>
      </w:pPr>
      <w:bookmarkStart w:id="18" w:name="_Toc445709163"/>
      <w:bookmarkStart w:id="19" w:name="_Toc308713259"/>
      <w:bookmarkEnd w:id="18"/>
      <w:bookmarkEnd w:id="19"/>
      <w:r>
        <w:rPr/>
        <w:t>Clauses relatives à la transmission électronique des documents budgétaires sur l’application Actes budgétaires</w:t>
      </w:r>
    </w:p>
    <w:p>
      <w:pPr>
        <w:pStyle w:val="Normal"/>
        <w:rPr>
          <w:b/>
          <w:bCs/>
          <w:color w:val="244061"/>
          <w:sz w:val="24"/>
          <w:szCs w:val="24"/>
        </w:rPr>
      </w:pPr>
      <w:r>
        <w:rPr>
          <w:b/>
          <w:bCs/>
          <w:color w:val="244061"/>
          <w:sz w:val="24"/>
          <w:szCs w:val="24"/>
        </w:rPr>
      </w:r>
    </w:p>
    <w:p>
      <w:pPr>
        <w:pStyle w:val="Titre3"/>
        <w:numPr>
          <w:ilvl w:val="2"/>
          <w:numId w:val="2"/>
        </w:numPr>
        <w:shd w:val="clear" w:fill="FFFFFF"/>
        <w:rPr/>
      </w:pPr>
      <w:bookmarkStart w:id="20" w:name="_Toc445709164"/>
      <w:bookmarkEnd w:id="20"/>
      <w:r>
        <w:rPr/>
        <w:t>Transmission des documents budgétaires de l’exercice en cours</w:t>
      </w:r>
    </w:p>
    <w:p>
      <w:pPr>
        <w:pStyle w:val="Normal"/>
        <w:shd w:val="clear" w:fill="FFFFFF"/>
        <w:rPr>
          <w:b/>
          <w:iCs/>
          <w:color w:val="244061"/>
          <w:sz w:val="24"/>
          <w:szCs w:val="24"/>
        </w:rPr>
      </w:pPr>
      <w:r>
        <w:rPr>
          <w:b/>
          <w:iCs/>
          <w:color w:val="244061"/>
          <w:sz w:val="24"/>
          <w:szCs w:val="24"/>
        </w:rPr>
      </w:r>
    </w:p>
    <w:p>
      <w:pPr>
        <w:pStyle w:val="Article"/>
        <w:numPr>
          <w:ilvl w:val="0"/>
          <w:numId w:val="1"/>
        </w:numPr>
        <w:bidi w:val="0"/>
        <w:spacing w:before="0" w:after="0"/>
        <w:jc w:val="left"/>
        <w:rPr/>
      </w:pPr>
      <w:r>
        <w:rPr/>
        <w:t>La transmission des documents budgétaires doit porter sur l’exercice budgétaire complet.</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overflowPunct w:val="true"/>
        <w:bidi w:val="0"/>
        <w:spacing w:before="0" w:after="0"/>
        <w:ind w:left="0" w:right="0" w:hanging="0"/>
        <w:jc w:val="both"/>
        <w:rPr/>
      </w:pPr>
      <w:r>
        <w:rPr/>
        <w:t>Le flux qui assure la transmission de l’acte budgétaire comporte, dans la même enveloppe, le document budgétaire ainsi que la délibération qui l’approuve.</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overflowPunct w:val="true"/>
        <w:bidi w:val="0"/>
        <w:spacing w:before="0" w:after="0"/>
        <w:ind w:left="0" w:right="0" w:hanging="0"/>
        <w:jc w:val="both"/>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bidi w:val="0"/>
        <w:spacing w:before="0" w:after="0"/>
        <w:jc w:val="left"/>
        <w:rPr/>
      </w:pPr>
      <w:r>
        <w:rPr/>
        <w:t>La dématérialisation des budgets porte à la fois sur le budget principal et sur les budgets annexes.</w:t>
      </w:r>
    </w:p>
    <w:p>
      <w:pPr>
        <w:pStyle w:val="Retraitdecorpsdetexte"/>
        <w:bidi w:val="0"/>
        <w:spacing w:before="0" w:after="0"/>
        <w:jc w:val="left"/>
        <w:rPr/>
      </w:pPr>
      <w:r>
        <w:rPr/>
        <w:t>À partir de la transmission électronique du budget primitif, tous les autres documents budgétaires de l’exercice doivent être transmis par voie électronique.</w:t>
      </w:r>
    </w:p>
    <w:p>
      <w:pPr>
        <w:pStyle w:val="Retraitdecorpsdetexte"/>
        <w:bidi w:val="0"/>
        <w:spacing w:before="0" w:after="0"/>
        <w:jc w:val="left"/>
        <w:rPr/>
      </w:pPr>
      <w:r>
        <w:rPr/>
      </w:r>
    </w:p>
    <w:p>
      <w:pPr>
        <w:pStyle w:val="Article"/>
        <w:widowControl/>
        <w:numPr>
          <w:ilvl w:val="0"/>
          <w:numId w:val="1"/>
        </w:numPr>
        <w:suppressAutoHyphens w:val="true"/>
        <w:overflowPunct w:val="true"/>
        <w:bidi w:val="0"/>
        <w:spacing w:before="0" w:after="0"/>
        <w:ind w:left="0" w:right="0" w:hanging="0"/>
        <w:jc w:val="both"/>
        <w:rPr/>
      </w:pPr>
      <w:r>
        <w:rPr/>
        <w:t>Le flux XML contenant le document budgétaire doit avoir été scellé par l’application TotEM ou par tout autre progiciel financier permettant de sceller le document budgétaire transmis.</w:t>
      </w:r>
    </w:p>
    <w:p>
      <w:pPr>
        <w:pStyle w:val="Article"/>
        <w:numPr>
          <w:ilvl w:val="0"/>
          <w:numId w:val="0"/>
        </w:numPr>
        <w:ind w:left="0" w:hanging="0"/>
        <w:rPr/>
      </w:pPr>
      <w:r>
        <w:rPr/>
      </w:r>
    </w:p>
    <w:p>
      <w:pPr>
        <w:pStyle w:val="Titre3"/>
        <w:numPr>
          <w:ilvl w:val="2"/>
          <w:numId w:val="2"/>
        </w:numPr>
        <w:shd w:val="clear" w:fill="FFFFFF"/>
        <w:rPr>
          <w:b/>
          <w:iCs/>
          <w:color w:val="244061"/>
          <w:sz w:val="24"/>
          <w:szCs w:val="24"/>
        </w:rPr>
      </w:pPr>
      <w:bookmarkStart w:id="21" w:name="_Toc308713260"/>
      <w:bookmarkStart w:id="22" w:name="_Toc445709165"/>
      <w:r>
        <w:rPr/>
        <w:t xml:space="preserve">Documents budgétaires concernés par la </w:t>
      </w:r>
      <w:bookmarkEnd w:id="21"/>
      <w:bookmarkEnd w:id="22"/>
      <w:r>
        <w:rPr/>
        <w:t>transmission électronique</w:t>
      </w:r>
    </w:p>
    <w:p>
      <w:pPr>
        <w:pStyle w:val="Article"/>
        <w:widowControl/>
        <w:numPr>
          <w:ilvl w:val="0"/>
          <w:numId w:val="1"/>
        </w:numPr>
        <w:suppressAutoHyphens w:val="true"/>
        <w:overflowPunct w:val="true"/>
        <w:bidi w:val="0"/>
        <w:spacing w:before="120" w:after="0"/>
        <w:ind w:left="0" w:right="0" w:hanging="0"/>
        <w:jc w:val="both"/>
        <w:rPr/>
      </w:pPr>
      <w:r>
        <w:rPr/>
        <w:t>La transmission électronique les documents budgétaires concerne l’intégralité des documents budgétaires de l’ordonnateur.</w:t>
      </w:r>
    </w:p>
    <w:p>
      <w:pPr>
        <w:pStyle w:val="Article"/>
        <w:numPr>
          <w:ilvl w:val="0"/>
          <w:numId w:val="0"/>
        </w:numPr>
        <w:ind w:left="0" w:hanging="0"/>
        <w:rPr>
          <w:sz w:val="24"/>
          <w:szCs w:val="24"/>
        </w:rPr>
      </w:pPr>
      <w:r>
        <w:rPr>
          <w:sz w:val="24"/>
          <w:szCs w:val="24"/>
        </w:rPr>
      </w:r>
    </w:p>
    <w:p>
      <w:pPr>
        <w:pStyle w:val="Titre1"/>
        <w:numPr>
          <w:ilvl w:val="0"/>
          <w:numId w:val="2"/>
        </w:numPr>
        <w:rPr>
          <w:b/>
          <w:bCs/>
          <w:color w:val="244061"/>
          <w:sz w:val="24"/>
          <w:szCs w:val="24"/>
        </w:rPr>
      </w:pPr>
      <w:r>
        <w:rPr/>
        <w:t>VALIDITÉ ET MODIFICATION DE LA CONVENTION</w:t>
      </w:r>
    </w:p>
    <w:p>
      <w:pPr>
        <w:pStyle w:val="Titre2"/>
        <w:numPr>
          <w:ilvl w:val="1"/>
          <w:numId w:val="2"/>
        </w:numPr>
        <w:rPr>
          <w:b/>
          <w:bCs/>
          <w:color w:val="244061"/>
          <w:sz w:val="24"/>
          <w:szCs w:val="24"/>
        </w:rPr>
      </w:pPr>
      <w:bookmarkStart w:id="23" w:name="_Toc445709167"/>
      <w:bookmarkEnd w:id="23"/>
      <w:r>
        <w:rPr/>
        <w:t>Durée de validité de la convention</w:t>
      </w:r>
    </w:p>
    <w:p>
      <w:pPr>
        <w:pStyle w:val="Article"/>
        <w:widowControl/>
        <w:numPr>
          <w:ilvl w:val="0"/>
          <w:numId w:val="1"/>
        </w:numPr>
        <w:suppressAutoHyphens w:val="true"/>
        <w:overflowPunct w:val="true"/>
        <w:bidi w:val="0"/>
        <w:spacing w:before="120" w:after="0"/>
        <w:ind w:left="0" w:right="0" w:hanging="0"/>
        <w:jc w:val="both"/>
        <w:rPr/>
      </w:pPr>
      <w:r>
        <w:rPr/>
        <w:t xml:space="preserve">La présente convention prend effet le </w:t>
      </w:r>
      <w:r>
        <w:rPr>
          <w:color w:val="000000"/>
          <w:shd w:fill="FFFF66" w:val="clear"/>
        </w:rPr>
        <w:t>date</w:t>
      </w:r>
      <w:r>
        <w:rPr/>
        <w:t xml:space="preserve"> </w:t>
      </w:r>
      <w:r>
        <w:rPr>
          <w:color w:val="000000"/>
        </w:rPr>
        <w:t>et a une</w:t>
      </w:r>
      <w:r>
        <w:rPr/>
        <w:t xml:space="preserve"> durée de validité d’un an, soit jusqu’au </w:t>
      </w:r>
      <w:r>
        <w:rPr>
          <w:color w:val="000000"/>
          <w:shd w:fill="FFFF66" w:val="clear"/>
        </w:rPr>
        <w:t>date + 1 an .</w:t>
      </w:r>
    </w:p>
    <w:p>
      <w:pPr>
        <w:pStyle w:val="Retraitdecorpsdetexte"/>
        <w:rPr/>
      </w:pPr>
      <w:r>
        <w:rPr/>
        <w:t xml:space="preserve">La présente convention est reconduite d’année en année, par reconduction tacite. </w:t>
      </w:r>
    </w:p>
    <w:p>
      <w:pPr>
        <w:pStyle w:val="Retraitdecorpsdetexte"/>
        <w:rPr/>
      </w:pPr>
      <w:r>
        <w:rPr/>
      </w:r>
    </w:p>
    <w:p>
      <w:pPr>
        <w:pStyle w:val="Titre2"/>
        <w:numPr>
          <w:ilvl w:val="1"/>
          <w:numId w:val="2"/>
        </w:numPr>
        <w:rPr/>
      </w:pPr>
      <w:bookmarkStart w:id="24" w:name="_Toc445709168"/>
      <w:bookmarkEnd w:id="24"/>
      <w:r>
        <w:rPr/>
        <w:t>Modification de la convention</w:t>
      </w:r>
    </w:p>
    <w:p>
      <w:pPr>
        <w:pStyle w:val="Normal"/>
        <w:rPr>
          <w:b/>
          <w:bCs/>
          <w:color w:val="244061"/>
          <w:sz w:val="24"/>
          <w:szCs w:val="24"/>
        </w:rPr>
      </w:pPr>
      <w:r>
        <w:rPr>
          <w:b/>
          <w:bCs/>
          <w:color w:val="244061"/>
          <w:sz w:val="24"/>
          <w:szCs w:val="24"/>
        </w:rPr>
      </w:r>
    </w:p>
    <w:p>
      <w:pPr>
        <w:pStyle w:val="Article"/>
        <w:widowControl/>
        <w:numPr>
          <w:ilvl w:val="0"/>
          <w:numId w:val="1"/>
        </w:numPr>
        <w:tabs>
          <w:tab w:val="left" w:pos="350" w:leader="none"/>
          <w:tab w:val="left" w:pos="1276" w:leader="none"/>
        </w:tabs>
        <w:suppressAutoHyphens w:val="true"/>
        <w:overflowPunct w:val="true"/>
        <w:bidi w:val="0"/>
        <w:spacing w:before="0" w:after="0"/>
        <w:ind w:left="0" w:right="0" w:hanging="0"/>
        <w:jc w:val="both"/>
        <w:rPr/>
      </w:pPr>
      <w:r>
        <w:rPr/>
        <w:t>Entre deux échéances de reconduction de la convention, certaines de ses clauses peuvent être modifiées par avenants.</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overflowPunct w:val="true"/>
        <w:bidi w:val="0"/>
        <w:spacing w:before="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Titre2"/>
        <w:numPr>
          <w:ilvl w:val="1"/>
          <w:numId w:val="2"/>
        </w:numPr>
        <w:rPr/>
      </w:pPr>
      <w:bookmarkStart w:id="25" w:name="_Toc445709169"/>
      <w:r>
        <w:rPr/>
        <w:t xml:space="preserve">Résiliation de la convention </w:t>
      </w:r>
      <w:bookmarkEnd w:id="25"/>
      <w:r>
        <w:rPr>
          <w:i/>
          <w:color w:val="00000A"/>
          <w:sz w:val="22"/>
          <w:szCs w:val="22"/>
        </w:rPr>
        <w:t>[collectivités non soumises à l’obligation de transmission par voie électronique en application de la loi NOTRe]</w:t>
      </w:r>
    </w:p>
    <w:p>
      <w:pPr>
        <w:pStyle w:val="Normal"/>
        <w:rPr>
          <w:i/>
          <w:i/>
          <w:color w:val="00000A"/>
          <w:sz w:val="22"/>
          <w:szCs w:val="22"/>
        </w:rPr>
      </w:pPr>
      <w:r>
        <w:rPr>
          <w:i/>
          <w:color w:val="00000A"/>
          <w:sz w:val="22"/>
          <w:szCs w:val="22"/>
        </w:rPr>
      </w:r>
    </w:p>
    <w:p>
      <w:pPr>
        <w:pStyle w:val="Article"/>
        <w:widowControl/>
        <w:numPr>
          <w:ilvl w:val="0"/>
          <w:numId w:val="1"/>
        </w:numPr>
        <w:suppressAutoHyphens w:val="true"/>
        <w:overflowPunct w:val="true"/>
        <w:bidi w:val="0"/>
        <w:spacing w:before="120" w:after="0"/>
        <w:ind w:left="0" w:right="0" w:hanging="0"/>
        <w:jc w:val="both"/>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Normal"/>
        <w:rPr/>
      </w:pPr>
      <w:r>
        <w:rPr/>
      </w:r>
    </w:p>
    <w:p>
      <w:pPr>
        <w:pStyle w:val="Normal"/>
        <w:rPr/>
      </w:pPr>
      <w:r>
        <w:rPr/>
      </w:r>
    </w:p>
    <w:p>
      <w:pPr>
        <w:pStyle w:val="Normal"/>
        <w:rPr/>
      </w:pPr>
      <w:r>
        <w:rPr/>
      </w:r>
    </w:p>
    <w:p>
      <w:pPr>
        <w:pStyle w:val="Normal"/>
        <w:rPr/>
      </w:pPr>
      <w:r>
        <w:rPr/>
      </w:r>
    </w:p>
    <w:tbl>
      <w:tblPr>
        <w:tblW w:w="10200" w:type="dxa"/>
        <w:jc w:val="left"/>
        <w:tblInd w:w="0" w:type="dxa"/>
        <w:tblLayout w:type="fixed"/>
        <w:tblCellMar>
          <w:top w:w="0" w:type="dxa"/>
          <w:left w:w="108" w:type="dxa"/>
          <w:bottom w:w="0" w:type="dxa"/>
          <w:right w:w="108" w:type="dxa"/>
        </w:tblCellMar>
      </w:tblPr>
      <w:tblGrid>
        <w:gridCol w:w="4728"/>
        <w:gridCol w:w="5471"/>
      </w:tblGrid>
      <w:tr>
        <w:trPr/>
        <w:tc>
          <w:tcPr>
            <w:tcW w:w="4728" w:type="dxa"/>
            <w:tcBorders/>
            <w:shd w:fill="auto" w:val="clear"/>
          </w:tcPr>
          <w:p>
            <w:pPr>
              <w:pStyle w:val="Normal"/>
              <w:widowControl w:val="false"/>
              <w:spacing w:before="120" w:after="0"/>
              <w:ind w:right="317" w:hanging="0"/>
              <w:jc w:val="both"/>
              <w:rPr/>
            </w:pPr>
            <w:r>
              <w:rPr>
                <w:sz w:val="22"/>
                <w:szCs w:val="22"/>
              </w:rPr>
              <w:t>Fait à</w:t>
            </w:r>
          </w:p>
          <w:p>
            <w:pPr>
              <w:pStyle w:val="Normal"/>
              <w:widowControl w:val="false"/>
              <w:spacing w:before="120" w:after="0"/>
              <w:ind w:right="317" w:hanging="0"/>
              <w:jc w:val="both"/>
              <w:rPr/>
            </w:pPr>
            <w:r>
              <w:rPr>
                <w:sz w:val="22"/>
                <w:szCs w:val="22"/>
              </w:rPr>
              <w:t>Le</w:t>
            </w:r>
          </w:p>
          <w:p>
            <w:pPr>
              <w:pStyle w:val="Retraitdecorpsdetexte"/>
              <w:widowControl w:val="false"/>
              <w:rPr/>
            </w:pPr>
            <w:r>
              <w:rPr/>
              <w:t>En deux exemplaires originaux.</w:t>
            </w:r>
          </w:p>
          <w:p>
            <w:pPr>
              <w:pStyle w:val="Normal"/>
              <w:widowControl w:val="false"/>
              <w:spacing w:before="120" w:after="0"/>
              <w:ind w:right="317" w:hanging="0"/>
              <w:jc w:val="both"/>
              <w:rPr>
                <w:rFonts w:ascii="Times New Roman" w:hAnsi="Times New Roman" w:eastAsia="Times New Roman" w:cs="Times New Roman"/>
                <w:color w:val="00000A"/>
                <w:sz w:val="16"/>
                <w:szCs w:val="16"/>
                <w:lang w:val="fr-FR" w:eastAsia="fr-FR" w:bidi="ar-SA"/>
              </w:rPr>
            </w:pPr>
            <w:r>
              <w:rPr>
                <w:rFonts w:eastAsia="Times New Roman" w:cs="Times New Roman"/>
                <w:color w:val="00000A"/>
                <w:sz w:val="16"/>
                <w:szCs w:val="16"/>
                <w:lang w:val="fr-FR" w:eastAsia="fr-FR" w:bidi="ar-SA"/>
              </w:rPr>
            </w:r>
          </w:p>
        </w:tc>
        <w:tc>
          <w:tcPr>
            <w:tcW w:w="5471" w:type="dxa"/>
            <w:tcBorders/>
            <w:shd w:fill="auto" w:val="clear"/>
          </w:tcPr>
          <w:p>
            <w:pPr>
              <w:pStyle w:val="Retraitdecorpsdetexte"/>
              <w:widowControl w:val="false"/>
              <w:spacing w:before="120" w:after="0"/>
              <w:jc w:val="both"/>
              <w:rPr/>
            </w:pPr>
            <w:bookmarkStart w:id="26" w:name="__DdeLink__1776_772199768"/>
            <w:r>
              <w:rPr/>
              <w:t xml:space="preserve">et à </w:t>
            </w:r>
            <w:r>
              <w:rPr>
                <w:rStyle w:val="Style4Car"/>
                <w:color w:val="000000"/>
                <w:highlight w:val="yellow"/>
              </w:rPr>
              <w:t>[nom de la commune siège de la « collectivité »]</w:t>
            </w:r>
            <w:bookmarkEnd w:id="26"/>
            <w:r>
              <w:rPr>
                <w:color w:val="000000"/>
                <w:shd w:fill="FFFF66" w:val="clear"/>
              </w:rPr>
              <w:t>,</w:t>
            </w:r>
          </w:p>
          <w:p>
            <w:pPr>
              <w:pStyle w:val="Retraitdecorpsdetexte"/>
              <w:widowControl w:val="false"/>
              <w:rPr/>
            </w:pPr>
            <w:r>
              <w:rPr/>
            </w:r>
          </w:p>
        </w:tc>
      </w:tr>
      <w:tr>
        <w:trPr/>
        <w:tc>
          <w:tcPr>
            <w:tcW w:w="4728" w:type="dxa"/>
            <w:tcBorders/>
            <w:shd w:fill="auto" w:val="clear"/>
          </w:tcPr>
          <w:p>
            <w:pPr>
              <w:pStyle w:val="Normal"/>
              <w:widowControl w:val="false"/>
              <w:ind w:right="317" w:hanging="0"/>
              <w:jc w:val="center"/>
              <w:rPr/>
            </w:pPr>
            <w:r>
              <w:rPr>
                <w:sz w:val="22"/>
                <w:szCs w:val="22"/>
              </w:rPr>
              <w:t>LE PRÉFET,</w:t>
            </w:r>
          </w:p>
          <w:p>
            <w:pPr>
              <w:pStyle w:val="Normal"/>
              <w:widowControl w:val="false"/>
              <w:ind w:right="317" w:hanging="0"/>
              <w:jc w:val="center"/>
              <w:rPr>
                <w:rFonts w:eastAsia="Times New Roman" w:cs="Times New Roman"/>
                <w:color w:val="00000A"/>
                <w:sz w:val="22"/>
                <w:szCs w:val="22"/>
                <w:lang w:val="fr-FR" w:eastAsia="fr-FR" w:bidi="ar-SA"/>
              </w:rPr>
            </w:pPr>
            <w:r>
              <w:rPr/>
            </w:r>
          </w:p>
          <w:p>
            <w:pPr>
              <w:pStyle w:val="Normal"/>
              <w:widowControl w:val="false"/>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color w:val="FF0000"/>
                <w:sz w:val="22"/>
                <w:szCs w:val="22"/>
              </w:rPr>
            </w:pPr>
            <w:r>
              <w:rPr>
                <w:color w:val="FF0000"/>
                <w:sz w:val="22"/>
                <w:szCs w:val="22"/>
              </w:rPr>
            </w:r>
          </w:p>
        </w:tc>
        <w:tc>
          <w:tcPr>
            <w:tcW w:w="5471" w:type="dxa"/>
            <w:tcBorders/>
            <w:shd w:fill="auto" w:val="clear"/>
          </w:tcPr>
          <w:p>
            <w:pPr>
              <w:pStyle w:val="Normal"/>
              <w:widowControl w:val="false"/>
              <w:ind w:right="317" w:hanging="0"/>
              <w:jc w:val="center"/>
              <w:rPr/>
            </w:pPr>
            <w:r>
              <w:rPr>
                <w:color w:val="000000"/>
                <w:sz w:val="22"/>
                <w:szCs w:val="22"/>
              </w:rPr>
              <w:t xml:space="preserve">LE PRÉSIDENT </w:t>
            </w:r>
            <w:r>
              <w:rPr>
                <w:color w:val="000000"/>
                <w:sz w:val="22"/>
                <w:szCs w:val="22"/>
                <w:highlight w:val="yellow"/>
              </w:rPr>
              <w:t>de</w:t>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rFonts w:ascii="Times New Roman" w:hAnsi="Times New Roman" w:eastAsia="Times New Roman" w:cs="Times New Roman"/>
          <w:color w:val="00000A"/>
          <w:sz w:val="2"/>
          <w:szCs w:val="2"/>
          <w:lang w:val="fr-FR" w:eastAsia="fr-FR" w:bidi="ar-SA"/>
        </w:rPr>
      </w:pPr>
      <w:r>
        <w:rPr>
          <w:rFonts w:eastAsia="Times New Roman" w:cs="Times New Roman"/>
          <w:color w:val="00000A"/>
          <w:sz w:val="2"/>
          <w:szCs w:val="2"/>
          <w:lang w:val="fr-FR" w:eastAsia="fr-FR" w:bidi="ar-SA"/>
        </w:rPr>
      </w:r>
    </w:p>
    <w:p>
      <w:pPr>
        <w:pStyle w:val="Pieddepage"/>
        <w:rPr/>
      </w:pPr>
      <w:r>
        <w:rPr/>
      </w:r>
    </w:p>
    <w:sectPr>
      <w:headerReference w:type="default" r:id="rId3"/>
      <w:headerReference w:type="first" r:id="rId4"/>
      <w:footnotePr>
        <w:numFmt w:val="decimal"/>
      </w:footnotePr>
      <w:type w:val="nextPage"/>
      <w:pgSz w:w="11906" w:h="16838"/>
      <w:pgMar w:left="850" w:right="850" w:gutter="0" w:header="680" w:top="2276" w:footer="0" w:bottom="68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rStyle w:val="FootnoteCharacters"/>
          <w:b/>
          <w:sz w:val="18"/>
          <w:szCs w:val="18"/>
        </w:rPr>
        <w:tab/>
        <w:tab/>
        <w:tab/>
      </w:r>
      <w:r>
        <w:rPr/>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2">
                <wp:simplePos x="0" y="0"/>
                <wp:positionH relativeFrom="column">
                  <wp:posOffset>462280</wp:posOffset>
                </wp:positionH>
                <wp:positionV relativeFrom="paragraph">
                  <wp:posOffset>-219710</wp:posOffset>
                </wp:positionV>
                <wp:extent cx="584835" cy="752475"/>
                <wp:effectExtent l="0" t="0" r="0" b="0"/>
                <wp:wrapNone/>
                <wp:docPr id="1" name="Image1"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hanging="0"/>
            <w:jc w:val="center"/>
            <w:rPr/>
          </w:pPr>
          <w:r>
            <w:rPr>
              <w:color w:val="365F91"/>
              <w:sz w:val="18"/>
              <w:szCs w:val="18"/>
            </w:rPr>
            <w:t>Convention</w:t>
            <w:br/>
            <w:t xml:space="preserve">entre le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rFonts w:eastAsia="Times New Roman" w:cs="Arial"/>
              <w:color w:val="365F91"/>
              <w:kern w:val="0"/>
              <w:sz w:val="18"/>
              <w:szCs w:val="18"/>
              <w:highlight w:val="yellow"/>
              <w:lang w:val="fr-FR" w:eastAsia="fr-FR" w:bidi="ar-SA"/>
            </w:rPr>
            <w:t>la collectivité</w:t>
          </w:r>
          <w:r>
            <w:rPr>
              <w:rFonts w:eastAsia="Times New Roman" w:cs="Arial"/>
              <w:color w:val="FF0000"/>
              <w:kern w:val="0"/>
              <w:sz w:val="18"/>
              <w:szCs w:val="18"/>
              <w:shd w:fill="FFFF00" w:val="clear"/>
              <w:lang w:val="fr-FR" w:eastAsia="fr-FR" w:bidi="ar-SA"/>
            </w:rPr>
            <w:t xml:space="preserve"> </w:t>
          </w:r>
          <w:r>
            <w:rPr>
              <w:color w:val="365F91"/>
              <w:sz w:val="18"/>
              <w:szCs w:val="18"/>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10">
                <wp:simplePos x="0" y="0"/>
                <wp:positionH relativeFrom="column">
                  <wp:posOffset>462280</wp:posOffset>
                </wp:positionH>
                <wp:positionV relativeFrom="paragraph">
                  <wp:posOffset>-219710</wp:posOffset>
                </wp:positionV>
                <wp:extent cx="584835" cy="752475"/>
                <wp:effectExtent l="0" t="0" r="0" b="0"/>
                <wp:wrapNone/>
                <wp:docPr id="2" name="Image2"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hanging="0"/>
            <w:jc w:val="center"/>
            <w:rPr/>
          </w:pPr>
          <w:r>
            <w:rPr>
              <w:color w:val="365F91"/>
              <w:sz w:val="18"/>
              <w:szCs w:val="18"/>
            </w:rPr>
            <w:t>Convention</w:t>
            <w:br/>
            <w:t xml:space="preserve">entre le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rFonts w:eastAsia="Times New Roman" w:cs="Arial"/>
              <w:color w:val="365F91"/>
              <w:kern w:val="0"/>
              <w:sz w:val="18"/>
              <w:szCs w:val="18"/>
              <w:highlight w:val="yellow"/>
              <w:lang w:val="fr-FR" w:eastAsia="fr-FR" w:bidi="ar-SA"/>
            </w:rPr>
            <w:t>la collectivité</w:t>
          </w:r>
          <w:r>
            <w:rPr>
              <w:rFonts w:eastAsia="Times New Roman" w:cs="Arial"/>
              <w:color w:val="FF0000"/>
              <w:kern w:val="0"/>
              <w:sz w:val="18"/>
              <w:szCs w:val="18"/>
              <w:shd w:fill="FFFF00" w:val="clear"/>
              <w:lang w:val="fr-FR" w:eastAsia="fr-FR" w:bidi="ar-SA"/>
            </w:rPr>
            <w:t xml:space="preserve"> </w:t>
          </w:r>
          <w:r>
            <w:rPr>
              <w:color w:val="365F91"/>
              <w:sz w:val="18"/>
              <w:szCs w:val="18"/>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sz w:val="24"/>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Roman"/>
      <w:lvlText w:val="%1."/>
      <w:lvlJc w:val="left"/>
      <w:pPr>
        <w:tabs>
          <w:tab w:val="num" w:pos="0"/>
        </w:tabs>
        <w:ind w:left="0" w:hanging="0"/>
      </w:pPr>
      <w:rPr/>
    </w:lvl>
    <w:lvl w:ilvl="1">
      <w:start w:val="1"/>
      <w:numFmt w:val="upperLetter"/>
      <w:lvlText w:val="%2."/>
      <w:lvlJc w:val="left"/>
      <w:pPr>
        <w:tabs>
          <w:tab w:val="num" w:pos="0"/>
        </w:tabs>
        <w:ind w:left="720" w:hanging="0"/>
      </w:pPr>
      <w:rPr/>
    </w:lvl>
    <w:lvl w:ilvl="2">
      <w:start w:val="1"/>
      <w:numFmt w:val="decimal"/>
      <w:lvlText w:val="%3."/>
      <w:lvlJc w:val="left"/>
      <w:pPr>
        <w:tabs>
          <w:tab w:val="num" w:pos="0"/>
        </w:tabs>
        <w:ind w:left="1440" w:hanging="0"/>
      </w:pPr>
      <w:rPr/>
    </w:lvl>
    <w:lvl w:ilvl="3">
      <w:start w:val="1"/>
      <w:numFmt w:val="lowerLetter"/>
      <w:lvlText w:val="%4)"/>
      <w:lvlJc w:val="left"/>
      <w:pPr>
        <w:tabs>
          <w:tab w:val="num" w:pos="0"/>
        </w:tabs>
        <w:ind w:left="2160" w:hanging="0"/>
      </w:pPr>
      <w:rPr/>
    </w:lvl>
    <w:lvl w:ilvl="4">
      <w:start w:val="1"/>
      <w:numFmt w:val="decimal"/>
      <w:lvlText w:val="(%5)"/>
      <w:lvlJc w:val="left"/>
      <w:pPr>
        <w:tabs>
          <w:tab w:val="num" w:pos="0"/>
        </w:tabs>
        <w:ind w:left="2880" w:hanging="0"/>
      </w:pPr>
      <w:rPr/>
    </w:lvl>
    <w:lvl w:ilvl="5">
      <w:start w:val="1"/>
      <w:numFmt w:val="lowerLetter"/>
      <w:lvlText w:val="(%6)"/>
      <w:lvlJc w:val="left"/>
      <w:pPr>
        <w:tabs>
          <w:tab w:val="num" w:pos="0"/>
        </w:tabs>
        <w:ind w:left="3600" w:hanging="0"/>
      </w:pPr>
      <w:rPr/>
    </w:lvl>
    <w:lvl w:ilvl="6">
      <w:start w:val="1"/>
      <w:numFmt w:val="lowerRoman"/>
      <w:lvlText w:val="(%7)"/>
      <w:lvlJc w:val="left"/>
      <w:pPr>
        <w:tabs>
          <w:tab w:val="num" w:pos="0"/>
        </w:tabs>
        <w:ind w:left="4320" w:hanging="0"/>
      </w:pPr>
      <w:rPr/>
    </w:lvl>
    <w:lvl w:ilvl="7">
      <w:start w:val="1"/>
      <w:numFmt w:val="lowerLetter"/>
      <w:lvlText w:val="(%8)"/>
      <w:lvlJc w:val="left"/>
      <w:pPr>
        <w:tabs>
          <w:tab w:val="num" w:pos="0"/>
        </w:tabs>
        <w:ind w:left="5040" w:hanging="0"/>
      </w:pPr>
      <w:rPr/>
    </w:lvl>
    <w:lvl w:ilvl="8">
      <w:start w:val="1"/>
      <w:numFmt w:val="lowerRoman"/>
      <w:lvlText w:val="(%9)"/>
      <w:lvlJc w:val="left"/>
      <w:pPr>
        <w:tabs>
          <w:tab w:val="num" w:pos="0"/>
        </w:tabs>
        <w:ind w:left="576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420"/>
  <w:autoHyphenation w:val="true"/>
  <w:footnotePr>
    <w:numFmt w:val="decimal"/>
    <w:footnote w:id="0"/>
    <w:footnote w:id="1"/>
  </w:footnotePr>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r-FR"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suppressAutoHyphens w:val="true"/>
      <w:overflowPunct w:val="true"/>
      <w:bidi w:val="0"/>
      <w:spacing w:before="0" w:after="0"/>
      <w:jc w:val="left"/>
    </w:pPr>
    <w:rPr>
      <w:rFonts w:ascii="Times New Roman" w:hAnsi="Times New Roman" w:eastAsia="Times New Roman" w:cs="Times New Roman"/>
      <w:color w:val="00000A"/>
      <w:kern w:val="2"/>
      <w:sz w:val="20"/>
      <w:szCs w:val="20"/>
      <w:lang w:val="fr-FR" w:eastAsia="fr-FR" w:bidi="ar-SA"/>
    </w:rPr>
  </w:style>
  <w:style w:type="paragraph" w:styleId="Titre1">
    <w:name w:val="Heading 1"/>
    <w:basedOn w:val="Normal"/>
    <w:next w:val="Normal"/>
    <w:qFormat/>
    <w:rsid w:val="00de0616"/>
    <w:pPr>
      <w:keepNext w:val="true"/>
      <w:tabs>
        <w:tab w:val="clear" w:pos="420"/>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qFormat/>
    <w:rsid w:val="00de0616"/>
    <w:pPr>
      <w:keepNext w:val="true"/>
      <w:tabs>
        <w:tab w:val="clear" w:pos="420"/>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qFormat/>
    <w:rsid w:val="00de0616"/>
    <w:pPr>
      <w:keepNext w:val="true"/>
      <w:shd w:val="clear" w:fill="FFFFFF"/>
      <w:spacing w:before="120" w:after="0"/>
      <w:jc w:val="both"/>
      <w:outlineLvl w:val="2"/>
    </w:pPr>
    <w:rPr>
      <w:b/>
      <w:iCs/>
      <w:color w:val="244061"/>
      <w:sz w:val="24"/>
      <w:szCs w:val="24"/>
    </w:rPr>
  </w:style>
  <w:style w:type="paragraph" w:styleId="Titre4">
    <w:name w:val="Heading 4"/>
    <w:basedOn w:val="Normal"/>
    <w:next w:val="Normal"/>
    <w:qFormat/>
    <w:rsid w:val="00612e67"/>
    <w:pPr>
      <w:keepNext w:val="true"/>
      <w:spacing w:before="240" w:after="60"/>
      <w:outlineLvl w:val="3"/>
    </w:pPr>
    <w:rPr>
      <w:b/>
      <w:bCs/>
      <w:sz w:val="28"/>
      <w:szCs w:val="28"/>
    </w:rPr>
  </w:style>
  <w:style w:type="paragraph" w:styleId="Titre5">
    <w:name w:val="Heading 5"/>
    <w:basedOn w:val="Normal"/>
    <w:next w:val="Normal"/>
    <w:qFormat/>
    <w:rsid w:val="00612e67"/>
    <w:pPr>
      <w:spacing w:before="240" w:after="60"/>
      <w:outlineLvl w:val="4"/>
    </w:pPr>
    <w:rPr>
      <w:b/>
      <w:bCs/>
      <w:i/>
      <w:iCs/>
      <w:sz w:val="26"/>
      <w:szCs w:val="26"/>
    </w:rPr>
  </w:style>
  <w:style w:type="paragraph" w:styleId="Titre6">
    <w:name w:val="Heading 6"/>
    <w:basedOn w:val="Normal"/>
    <w:next w:val="Normal"/>
    <w:qFormat/>
    <w:rsid w:val="00612e67"/>
    <w:pPr>
      <w:spacing w:before="240" w:after="60"/>
      <w:outlineLvl w:val="5"/>
    </w:pPr>
    <w:rPr>
      <w:b/>
      <w:bCs/>
      <w:sz w:val="22"/>
      <w:szCs w:val="22"/>
    </w:rPr>
  </w:style>
  <w:style w:type="paragraph" w:styleId="Titre7">
    <w:name w:val="Heading 7"/>
    <w:basedOn w:val="Normal"/>
    <w:next w:val="Normal"/>
    <w:qFormat/>
    <w:rsid w:val="00612e67"/>
    <w:pPr>
      <w:spacing w:before="240" w:after="60"/>
      <w:outlineLvl w:val="6"/>
    </w:pPr>
    <w:rPr>
      <w:sz w:val="24"/>
      <w:szCs w:val="24"/>
    </w:rPr>
  </w:style>
  <w:style w:type="paragraph" w:styleId="Titre8">
    <w:name w:val="Heading 8"/>
    <w:basedOn w:val="Normal"/>
    <w:next w:val="Normal"/>
    <w:qFormat/>
    <w:rsid w:val="00612e67"/>
    <w:pPr>
      <w:spacing w:before="240" w:after="60"/>
      <w:outlineLvl w:val="7"/>
    </w:pPr>
    <w:rPr>
      <w:i/>
      <w:iCs/>
      <w:sz w:val="24"/>
      <w:szCs w:val="24"/>
    </w:rPr>
  </w:style>
  <w:style w:type="paragraph" w:styleId="Titre9">
    <w:name w:val="Heading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qFormat/>
    <w:rsid w:val="00202e81"/>
    <w:rPr>
      <w:sz w:val="24"/>
      <w:szCs w:val="24"/>
    </w:rPr>
  </w:style>
  <w:style w:type="character" w:styleId="Style4Car" w:customStyle="1">
    <w:name w:val="Style4 Car"/>
    <w:basedOn w:val="RetraitcorpsdetexteCar"/>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qFormat/>
    <w:rsid w:val="003f66e8"/>
    <w:rPr/>
  </w:style>
  <w:style w:type="character" w:styleId="LienInternet">
    <w:name w:val="Hyperlink"/>
    <w:basedOn w:val="DefaultParagraphFont"/>
    <w:uiPriority w:val="99"/>
    <w:unhideWhenUsed/>
    <w:rsid w:val="00165d9f"/>
    <w:rPr>
      <w:color w:val="0000FF"/>
      <w:u w:val="single"/>
      <w:lang w:val="zxx" w:eastAsia="zxx" w:bidi="zxx"/>
    </w:rPr>
  </w:style>
  <w:style w:type="character" w:styleId="CorpsdetexteCar" w:customStyle="1">
    <w:name w:val="Corps de texte Car"/>
    <w:basedOn w:val="DefaultParagraphFont"/>
    <w:qFormat/>
    <w:rsid w:val="006d38dd"/>
    <w:rPr>
      <w:rFonts w:ascii="Arial" w:hAnsi="Arial"/>
      <w:b/>
      <w:sz w:val="22"/>
    </w:rPr>
  </w:style>
  <w:style w:type="character" w:styleId="Style1Car" w:customStyle="1">
    <w:name w:val="Style1 Car"/>
    <w:basedOn w:val="CorpsdetexteCar"/>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qFormat/>
    <w:rsid w:val="002e699d"/>
    <w:rPr/>
  </w:style>
  <w:style w:type="character" w:styleId="Ancredenotedebasdepage">
    <w:name w:val="Footnote Reference"/>
    <w:rPr>
      <w:vertAlign w:val="superscript"/>
    </w:rPr>
  </w:style>
  <w:style w:type="character" w:styleId="FootnoteCharacters">
    <w:name w:val="Footnote Characters"/>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Ancredenotedefin">
    <w:name w:val="Endnote Reference"/>
    <w:rPr>
      <w:vertAlign w:val="superscript"/>
    </w:rPr>
  </w:style>
  <w:style w:type="character" w:styleId="Sautdindex">
    <w:name w:val="Saut d'index"/>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FootnoteTextChar2">
    <w:name w:val="Footnote Text Char2"/>
    <w:basedOn w:val="DefaultParagraphFont"/>
    <w:qFormat/>
    <w:rPr>
      <w:color w:val="00000A"/>
      <w:sz w:val="20"/>
      <w:szCs w:val="20"/>
    </w:rPr>
  </w:style>
  <w:style w:type="character" w:styleId="HeaderChar1">
    <w:name w:val="Header Char1"/>
    <w:basedOn w:val="DefaultParagraphFont"/>
    <w:qFormat/>
    <w:rPr>
      <w:color w:val="00000A"/>
      <w:sz w:val="20"/>
      <w:szCs w:val="20"/>
    </w:rPr>
  </w:style>
  <w:style w:type="character" w:styleId="CommentSubjectChar1">
    <w:name w:val="Comment Subject Char1"/>
    <w:basedOn w:val="CommentTextChar"/>
    <w:qFormat/>
    <w:rPr>
      <w:b/>
      <w:bCs/>
      <w:color w:val="00000A"/>
    </w:rPr>
  </w:style>
  <w:style w:type="character" w:styleId="CommentTextChar1">
    <w:name w:val="Comment Text Char1"/>
    <w:basedOn w:val="DefaultParagraphFont"/>
    <w:qFormat/>
    <w:rPr>
      <w:color w:val="00000A"/>
      <w:sz w:val="20"/>
      <w:szCs w:val="20"/>
    </w:rPr>
  </w:style>
  <w:style w:type="character" w:styleId="DocumentMapChar1">
    <w:name w:val="Document Map Char1"/>
    <w:basedOn w:val="DefaultParagraphFont"/>
    <w:qFormat/>
    <w:rPr>
      <w:color w:val="00000A"/>
      <w:sz w:val="2"/>
      <w:szCs w:val="2"/>
    </w:rPr>
  </w:style>
  <w:style w:type="character" w:styleId="BodyTextIndent2Char1">
    <w:name w:val="Body Text Indent 2 Char1"/>
    <w:basedOn w:val="DefaultParagraphFont"/>
    <w:qFormat/>
    <w:rPr>
      <w:color w:val="00000A"/>
      <w:sz w:val="20"/>
      <w:szCs w:val="20"/>
    </w:rPr>
  </w:style>
  <w:style w:type="character" w:styleId="FooterChar1">
    <w:name w:val="Footer Char1"/>
    <w:basedOn w:val="DefaultParagraphFont"/>
    <w:qFormat/>
    <w:rPr>
      <w:color w:val="00000A"/>
      <w:sz w:val="20"/>
      <w:szCs w:val="20"/>
    </w:rPr>
  </w:style>
  <w:style w:type="character" w:styleId="BalloonTextChar1">
    <w:name w:val="Balloon Text Char1"/>
    <w:basedOn w:val="DefaultParagraphFont"/>
    <w:qFormat/>
    <w:rPr>
      <w:color w:val="00000A"/>
      <w:sz w:val="2"/>
      <w:szCs w:val="2"/>
    </w:rPr>
  </w:style>
  <w:style w:type="character" w:styleId="BodyTextChar2">
    <w:name w:val="Body Text Char2"/>
    <w:basedOn w:val="DefaultParagraphFont"/>
    <w:qFormat/>
    <w:rPr>
      <w:color w:val="00000A"/>
      <w:sz w:val="20"/>
      <w:szCs w:val="20"/>
    </w:rPr>
  </w:style>
  <w:style w:type="character" w:styleId="TitleChar1">
    <w:name w:val="Title Char1"/>
    <w:basedOn w:val="DefaultParagraphFont"/>
    <w:qFormat/>
    <w:rPr>
      <w:rFonts w:ascii="Cambria" w:hAnsi="Cambria" w:eastAsia="SimSun" w:cs="Arial"/>
      <w:b/>
      <w:bCs/>
      <w:color w:val="00000A"/>
      <w:sz w:val="32"/>
      <w:szCs w:val="32"/>
    </w:rPr>
  </w:style>
  <w:style w:type="character" w:styleId="Caractresdenumrotation">
    <w:name w:val="Caractères de numérotation"/>
    <w:qFormat/>
    <w:rPr/>
  </w:style>
  <w:style w:type="character" w:styleId="FootnoteTextChar1">
    <w:name w:val="Footnote Text Char1"/>
    <w:basedOn w:val="DefaultParagraphFont"/>
    <w:qFormat/>
    <w:rPr>
      <w:sz w:val="20"/>
      <w:szCs w:val="20"/>
    </w:rPr>
  </w:style>
  <w:style w:type="character" w:styleId="HeaderChar">
    <w:name w:val="Header Char"/>
    <w:basedOn w:val="DefaultParagraphFont"/>
    <w:qFormat/>
    <w:rPr>
      <w:sz w:val="20"/>
      <w:szCs w:val="20"/>
    </w:rPr>
  </w:style>
  <w:style w:type="character" w:styleId="CommentSubjectChar">
    <w:name w:val="Comment Subject Char"/>
    <w:basedOn w:val="CommentTextChar"/>
    <w:qFormat/>
    <w:rPr>
      <w:b/>
      <w:bCs/>
    </w:rPr>
  </w:style>
  <w:style w:type="character" w:styleId="CommentTextChar">
    <w:name w:val="Comment Text Char"/>
    <w:basedOn w:val="DefaultParagraphFont"/>
    <w:qFormat/>
    <w:rPr>
      <w:sz w:val="20"/>
      <w:szCs w:val="20"/>
    </w:rPr>
  </w:style>
  <w:style w:type="character" w:styleId="DocumentMapChar">
    <w:name w:val="Document Map Char"/>
    <w:basedOn w:val="DefaultParagraphFont"/>
    <w:qFormat/>
    <w:rPr>
      <w:sz w:val="2"/>
      <w:szCs w:val="2"/>
    </w:rPr>
  </w:style>
  <w:style w:type="character" w:styleId="BodyTextIndent2Char">
    <w:name w:val="Body Text Indent 2 Char"/>
    <w:basedOn w:val="DefaultParagraphFont"/>
    <w:qFormat/>
    <w:rPr>
      <w:sz w:val="20"/>
      <w:szCs w:val="20"/>
    </w:rPr>
  </w:style>
  <w:style w:type="character" w:styleId="FooterChar">
    <w:name w:val="Footer Char"/>
    <w:basedOn w:val="DefaultParagraphFont"/>
    <w:qFormat/>
    <w:rPr>
      <w:sz w:val="20"/>
      <w:szCs w:val="20"/>
    </w:rPr>
  </w:style>
  <w:style w:type="character" w:styleId="BalloonTextChar">
    <w:name w:val="Balloon Text Char"/>
    <w:basedOn w:val="DefaultParagraphFont"/>
    <w:qFormat/>
    <w:rPr>
      <w:sz w:val="2"/>
      <w:szCs w:val="2"/>
    </w:rPr>
  </w:style>
  <w:style w:type="character" w:styleId="BodyTextChar">
    <w:name w:val="Body Text Char"/>
    <w:basedOn w:val="DefaultParagraphFont"/>
    <w:qFormat/>
    <w:rPr>
      <w:sz w:val="20"/>
      <w:szCs w:val="20"/>
    </w:rPr>
  </w:style>
  <w:style w:type="character" w:styleId="TitleChar">
    <w:name w:val="Title Char"/>
    <w:basedOn w:val="DefaultParagraphFont"/>
    <w:qFormat/>
    <w:rPr>
      <w:rFonts w:ascii="Cambria" w:hAnsi="Cambria" w:cs="Cambria"/>
      <w:b/>
      <w:bCs/>
      <w:sz w:val="32"/>
      <w:szCs w:val="32"/>
    </w:rPr>
  </w:style>
  <w:style w:type="character" w:styleId="FootnoteTextChar">
    <w:name w:val="Footnote Text Char"/>
    <w:qFormat/>
    <w:rPr/>
  </w:style>
  <w:style w:type="character" w:styleId="BodyTextChar1">
    <w:name w:val="Body Text Char1"/>
    <w:qFormat/>
    <w:rPr>
      <w:rFonts w:ascii="Arial" w:hAnsi="Arial" w:cs="Arial"/>
      <w:b/>
      <w:bCs/>
      <w:sz w:val="22"/>
      <w:szCs w:val="22"/>
    </w:rPr>
  </w:style>
  <w:style w:type="character" w:styleId="Heading9Char">
    <w:name w:val="Heading 9 Char"/>
    <w:basedOn w:val="DefaultParagraphFont"/>
    <w:qFormat/>
    <w:rPr>
      <w:rFonts w:ascii="Cambria" w:hAnsi="Cambria" w:cs="Cambria"/>
    </w:rPr>
  </w:style>
  <w:style w:type="character" w:styleId="Heading8Char">
    <w:name w:val="Heading 8 Char"/>
    <w:basedOn w:val="DefaultParagraphFont"/>
    <w:qFormat/>
    <w:rPr>
      <w:rFonts w:ascii="Calibri" w:hAnsi="Calibri" w:cs="Calibri"/>
      <w:i/>
      <w:iCs/>
      <w:sz w:val="24"/>
      <w:szCs w:val="24"/>
    </w:rPr>
  </w:style>
  <w:style w:type="character" w:styleId="Heading7Char">
    <w:name w:val="Heading 7 Char"/>
    <w:basedOn w:val="DefaultParagraphFont"/>
    <w:qFormat/>
    <w:rPr>
      <w:rFonts w:ascii="Calibri" w:hAnsi="Calibri" w:cs="Calibri"/>
      <w:sz w:val="24"/>
      <w:szCs w:val="24"/>
    </w:rPr>
  </w:style>
  <w:style w:type="character" w:styleId="Heading6Char">
    <w:name w:val="Heading 6 Char"/>
    <w:basedOn w:val="DefaultParagraphFont"/>
    <w:qFormat/>
    <w:rPr>
      <w:rFonts w:ascii="Calibri" w:hAnsi="Calibri" w:cs="Calibri"/>
      <w:b/>
      <w:bCs/>
    </w:rPr>
  </w:style>
  <w:style w:type="character" w:styleId="Heading5Char">
    <w:name w:val="Heading 5 Char"/>
    <w:basedOn w:val="DefaultParagraphFont"/>
    <w:qFormat/>
    <w:rPr>
      <w:rFonts w:ascii="Calibri" w:hAnsi="Calibri" w:cs="Calibri"/>
      <w:b/>
      <w:bCs/>
      <w:i/>
      <w:iCs/>
      <w:sz w:val="26"/>
      <w:szCs w:val="26"/>
    </w:rPr>
  </w:style>
  <w:style w:type="character" w:styleId="Heading4Char">
    <w:name w:val="Heading 4 Char"/>
    <w:basedOn w:val="DefaultParagraphFont"/>
    <w:qFormat/>
    <w:rPr>
      <w:rFonts w:ascii="Calibri" w:hAnsi="Calibri" w:cs="Calibri"/>
      <w:b/>
      <w:bCs/>
      <w:sz w:val="28"/>
      <w:szCs w:val="28"/>
    </w:rPr>
  </w:style>
  <w:style w:type="character" w:styleId="Heading3Char">
    <w:name w:val="Heading 3 Char"/>
    <w:basedOn w:val="DefaultParagraphFont"/>
    <w:qFormat/>
    <w:rPr>
      <w:rFonts w:ascii="Cambria" w:hAnsi="Cambria" w:cs="Cambria"/>
      <w:b/>
      <w:bCs/>
      <w:sz w:val="26"/>
      <w:szCs w:val="26"/>
    </w:rPr>
  </w:style>
  <w:style w:type="character" w:styleId="Heading2Char">
    <w:name w:val="Heading 2 Char"/>
    <w:basedOn w:val="DefaultParagraphFont"/>
    <w:qFormat/>
    <w:rPr>
      <w:rFonts w:ascii="Cambria" w:hAnsi="Cambria" w:cs="Cambria"/>
      <w:b/>
      <w:bCs/>
      <w:i/>
      <w:iCs/>
      <w:sz w:val="28"/>
      <w:szCs w:val="28"/>
    </w:rPr>
  </w:style>
  <w:style w:type="character" w:styleId="Heading1Char">
    <w:name w:val="Heading 1 Char"/>
    <w:basedOn w:val="DefaultParagraphFont"/>
    <w:qFormat/>
    <w:rPr>
      <w:rFonts w:ascii="Cambria" w:hAnsi="Cambria" w:cs="Cambria"/>
      <w:b/>
      <w:bCs/>
      <w:sz w:val="32"/>
      <w:szCs w:val="32"/>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612e67"/>
    <w:pPr>
      <w:spacing w:lineRule="auto" w:line="288" w:before="0" w:after="140"/>
      <w:jc w:val="center"/>
    </w:pPr>
    <w:rPr>
      <w:rFonts w:ascii="Arial" w:hAnsi="Arial"/>
      <w:b/>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rsid w:val="00612e67"/>
    <w:pPr>
      <w:tabs>
        <w:tab w:val="clear" w:pos="420"/>
        <w:tab w:val="center" w:pos="4536" w:leader="none"/>
        <w:tab w:val="right" w:pos="9072" w:leader="none"/>
      </w:tabs>
    </w:pPr>
    <w:rPr/>
  </w:style>
  <w:style w:type="paragraph" w:styleId="Retraitdecorpsdetexte">
    <w:name w:val="Body Text Indent"/>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clear" w:pos="420"/>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clear" w:pos="420"/>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Header"/>
    <w:basedOn w:val="Normal"/>
    <w:rsid w:val="003f66e8"/>
    <w:pPr>
      <w:tabs>
        <w:tab w:val="clear" w:pos="420"/>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OAHeading">
    <w:name w:val="TOA Heading"/>
    <w:basedOn w:val="Titre1"/>
    <w:next w:val="Normal"/>
    <w:uiPriority w:val="39"/>
    <w:qFormat/>
    <w:rsid w:val="00165d9f"/>
    <w:pPr>
      <w:keepLines/>
      <w:spacing w:lineRule="auto" w:line="276" w:before="480" w:after="0"/>
      <w:jc w:val="left"/>
    </w:pPr>
    <w:rPr>
      <w:rFonts w:ascii="Cambria" w:hAnsi="Cambria"/>
      <w:color w:val="365F91"/>
      <w:sz w:val="28"/>
      <w:szCs w:val="28"/>
      <w:lang w:eastAsia="en-US"/>
    </w:rPr>
  </w:style>
  <w:style w:type="paragraph" w:styleId="Tabledesmatiresniveau1">
    <w:name w:val="TOC 1"/>
    <w:basedOn w:val="Normal"/>
    <w:next w:val="Normal"/>
    <w:autoRedefine/>
    <w:uiPriority w:val="39"/>
    <w:rsid w:val="00165d9f"/>
    <w:pPr/>
    <w:rPr/>
  </w:style>
  <w:style w:type="paragraph" w:styleId="Tabledesmatiresniveau2">
    <w:name w:val="TOC 2"/>
    <w:basedOn w:val="Normal"/>
    <w:next w:val="Normal"/>
    <w:autoRedefine/>
    <w:uiPriority w:val="39"/>
    <w:rsid w:val="00165d9f"/>
    <w:pPr>
      <w:ind w:left="200" w:hanging="0"/>
    </w:pPr>
    <w:rPr/>
  </w:style>
  <w:style w:type="paragraph" w:styleId="Tabledesmatiresniveau3">
    <w:name w:val="TOC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suppressAutoHyphens w:val="true"/>
      <w:overflowPunct w:val="true"/>
      <w:bidi w:val="0"/>
      <w:spacing w:before="0" w:after="0"/>
      <w:jc w:val="left"/>
    </w:pPr>
    <w:rPr>
      <w:rFonts w:ascii="Times New Roman" w:hAnsi="Times New Roman" w:eastAsia="Times New Roman" w:cs="Times New Roman"/>
      <w:color w:val="00000A"/>
      <w:kern w:val="2"/>
      <w:sz w:val="20"/>
      <w:szCs w:val="20"/>
      <w:lang w:val="fr-FR" w:eastAsia="fr-FR" w:bidi="ar-SA"/>
    </w:rPr>
  </w:style>
  <w:style w:type="paragraph" w:styleId="Western" w:customStyle="1">
    <w:name w:val="western"/>
    <w:basedOn w:val="Normal"/>
    <w:qFormat/>
    <w:rsid w:val="00676ac0"/>
    <w:pPr>
      <w:spacing w:before="280" w:after="280"/>
    </w:pPr>
    <w:rPr>
      <w:sz w:val="24"/>
      <w:szCs w:val="24"/>
    </w:rPr>
  </w:style>
  <w:style w:type="paragraph" w:styleId="Notedebasdepage">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280" w:after="280"/>
    </w:pPr>
    <w:rPr>
      <w:sz w:val="24"/>
      <w:szCs w:val="24"/>
    </w:rPr>
  </w:style>
  <w:style w:type="paragraph" w:styleId="Article" w:customStyle="1">
    <w:name w:val="Article"/>
    <w:basedOn w:val="Retraitdecorpsdetexte"/>
    <w:qFormat/>
    <w:rsid w:val="00202e81"/>
    <w:pPr>
      <w:tabs>
        <w:tab w:val="clear" w:pos="420"/>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Contenudecadre">
    <w:name w:val="Contenu de cadre"/>
    <w:basedOn w:val="Normal"/>
    <w:qFormat/>
    <w:pPr/>
    <w:rPr/>
  </w:style>
  <w:style w:type="paragraph" w:styleId="Caption">
    <w:name w:val="caption"/>
    <w:basedOn w:val="Normal"/>
    <w:qFormat/>
    <w:pPr>
      <w:suppressLineNumbers/>
      <w:spacing w:before="120" w:after="120"/>
    </w:pPr>
    <w:rPr>
      <w:i/>
      <w:iCs/>
      <w:sz w:val="24"/>
      <w:szCs w:val="24"/>
    </w:rPr>
  </w:style>
  <w:style w:type="paragraph" w:styleId="Titreprincipal">
    <w:name w:val="Title"/>
    <w:basedOn w:val="Normal"/>
    <w:qFormat/>
    <w:pPr>
      <w:keepNext w:val="true"/>
      <w:spacing w:before="240" w:after="120"/>
    </w:pPr>
    <w:rPr>
      <w:rFonts w:ascii="Liberation Sans" w:hAnsi="Liberation Sans" w:eastAsia="Microsoft YaHei" w:cs="Liberation Sans"/>
      <w:sz w:val="28"/>
      <w:szCs w:val="28"/>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542f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LibreOffice/7.5.7.1.M1$Windows_X86_64 LibreOffice_project/9d4bf91ba30c991aaed3b97dd4173f7705c6b5ae</Application>
  <AppVersion>15.0000</AppVersion>
  <Pages>9</Pages>
  <Words>2542</Words>
  <Characters>14373</Characters>
  <CharactersWithSpaces>16743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2021-02-22T14:14:40Z</dcterms:created>
  <dc:creator/>
  <dc:description/>
  <dc:language>fr-FR</dc:language>
  <cp:lastModifiedBy/>
  <dcterms:modified xsi:type="dcterms:W3CDTF">2024-04-05T09:12:33Z</dcterms:modified>
  <cp:revision>5</cp:revision>
  <dc:subject/>
  <dc:title>CONVENTION</dc:title>
</cp:coreProperties>
</file>

<file path=docProps/custom.xml><?xml version="1.0" encoding="utf-8"?>
<Properties xmlns="http://schemas.openxmlformats.org/officeDocument/2006/custom-properties" xmlns:vt="http://schemas.openxmlformats.org/officeDocument/2006/docPropsVTypes"/>
</file>